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81F30" w14:textId="584C2158" w:rsidR="001408AA" w:rsidRPr="00B51BD9" w:rsidRDefault="001408AA" w:rsidP="001D556E">
      <w:pPr>
        <w:rPr>
          <w:rFonts w:ascii="Arial" w:hAnsi="Arial" w:cs="Arial"/>
          <w:sz w:val="22"/>
          <w:szCs w:val="22"/>
        </w:rPr>
      </w:pPr>
      <w:r w:rsidRPr="00B51BD9">
        <w:rPr>
          <w:rFonts w:ascii="Arial" w:hAnsi="Arial" w:cs="Arial"/>
          <w:sz w:val="22"/>
          <w:szCs w:val="22"/>
        </w:rPr>
        <w:t>Autoimmune polyendocrinopathy candidiasis ectodermal dystrophy (APECED) is a recessive autoimmune disease where patients suffer from endocrine and ectodermal disorders [1].  APECED is caused by a loss of function in the AutoImmune R</w:t>
      </w:r>
      <w:r w:rsidR="003D0603" w:rsidRPr="00B51BD9">
        <w:rPr>
          <w:rFonts w:ascii="Arial" w:hAnsi="Arial" w:cs="Arial"/>
          <w:sz w:val="22"/>
          <w:szCs w:val="22"/>
        </w:rPr>
        <w:t>e</w:t>
      </w:r>
      <w:r w:rsidRPr="00B51BD9">
        <w:rPr>
          <w:rFonts w:ascii="Arial" w:hAnsi="Arial" w:cs="Arial"/>
          <w:sz w:val="22"/>
          <w:szCs w:val="22"/>
        </w:rPr>
        <w:t>gulator</w:t>
      </w:r>
      <w:r w:rsidR="003D0603" w:rsidRPr="00B51BD9">
        <w:rPr>
          <w:rFonts w:ascii="Arial" w:hAnsi="Arial" w:cs="Arial"/>
          <w:sz w:val="22"/>
          <w:szCs w:val="22"/>
        </w:rPr>
        <w:t xml:space="preserve"> </w:t>
      </w:r>
      <w:r w:rsidRPr="00B51BD9">
        <w:rPr>
          <w:rFonts w:ascii="Arial" w:hAnsi="Arial" w:cs="Arial"/>
          <w:sz w:val="22"/>
          <w:szCs w:val="22"/>
        </w:rPr>
        <w:t xml:space="preserve">(AIRE), a transcription factor necessary for ensuring </w:t>
      </w:r>
      <w:r w:rsidR="007E58EF">
        <w:rPr>
          <w:rFonts w:ascii="Arial" w:hAnsi="Arial" w:cs="Arial"/>
          <w:sz w:val="22"/>
          <w:szCs w:val="22"/>
        </w:rPr>
        <w:t xml:space="preserve">that </w:t>
      </w:r>
      <w:r w:rsidRPr="00B51BD9">
        <w:rPr>
          <w:rFonts w:ascii="Arial" w:hAnsi="Arial" w:cs="Arial"/>
          <w:sz w:val="22"/>
          <w:szCs w:val="22"/>
        </w:rPr>
        <w:t>immune cel</w:t>
      </w:r>
      <w:r w:rsidR="0052119E" w:rsidRPr="00B51BD9">
        <w:rPr>
          <w:rFonts w:ascii="Arial" w:hAnsi="Arial" w:cs="Arial"/>
          <w:sz w:val="22"/>
          <w:szCs w:val="22"/>
        </w:rPr>
        <w:t>ls do not attack the body</w:t>
      </w:r>
      <w:r w:rsidR="007E58EF">
        <w:rPr>
          <w:rFonts w:ascii="Arial" w:hAnsi="Arial" w:cs="Arial"/>
          <w:sz w:val="22"/>
          <w:szCs w:val="22"/>
        </w:rPr>
        <w:t>, also called tolerance</w:t>
      </w:r>
      <w:r w:rsidR="0052119E" w:rsidRPr="00B51BD9">
        <w:rPr>
          <w:rFonts w:ascii="Arial" w:hAnsi="Arial" w:cs="Arial"/>
          <w:sz w:val="22"/>
          <w:szCs w:val="22"/>
        </w:rPr>
        <w:t xml:space="preserve"> </w:t>
      </w:r>
      <w:r w:rsidRPr="00B51BD9">
        <w:rPr>
          <w:rFonts w:ascii="Arial" w:hAnsi="Arial" w:cs="Arial"/>
          <w:sz w:val="22"/>
          <w:szCs w:val="22"/>
        </w:rPr>
        <w:t>[2].</w:t>
      </w:r>
      <w:r w:rsidRPr="00B51BD9">
        <w:rPr>
          <w:rStyle w:val="EndnoteReference"/>
          <w:rFonts w:ascii="Arial" w:hAnsi="Arial" w:cs="Arial"/>
          <w:sz w:val="22"/>
          <w:szCs w:val="22"/>
        </w:rPr>
        <w:t xml:space="preserve"> </w:t>
      </w:r>
      <w:r w:rsidRPr="00B51BD9">
        <w:rPr>
          <w:rFonts w:ascii="Arial" w:hAnsi="Arial" w:cs="Arial"/>
          <w:sz w:val="22"/>
          <w:szCs w:val="22"/>
        </w:rPr>
        <w:t>AIRE primarily functions in the thymus by promoting expression of self-antigens in medullary thymic epithelial cells</w:t>
      </w:r>
      <w:r w:rsidR="00932A87">
        <w:rPr>
          <w:rFonts w:ascii="Arial" w:hAnsi="Arial" w:cs="Arial"/>
          <w:sz w:val="22"/>
          <w:szCs w:val="22"/>
        </w:rPr>
        <w:t>,</w:t>
      </w:r>
      <w:r w:rsidRPr="00B51BD9">
        <w:rPr>
          <w:rFonts w:ascii="Arial" w:hAnsi="Arial" w:cs="Arial"/>
          <w:sz w:val="22"/>
          <w:szCs w:val="22"/>
        </w:rPr>
        <w:t xml:space="preserve"> which </w:t>
      </w:r>
      <w:r w:rsidR="0089001D" w:rsidRPr="00B51BD9">
        <w:rPr>
          <w:rFonts w:ascii="Arial" w:hAnsi="Arial" w:cs="Arial"/>
          <w:sz w:val="22"/>
          <w:szCs w:val="22"/>
        </w:rPr>
        <w:t>kill T-</w:t>
      </w:r>
      <w:r w:rsidRPr="00B51BD9">
        <w:rPr>
          <w:rFonts w:ascii="Arial" w:hAnsi="Arial" w:cs="Arial"/>
          <w:sz w:val="22"/>
          <w:szCs w:val="22"/>
        </w:rPr>
        <w:t xml:space="preserve">cells that bind </w:t>
      </w:r>
      <w:r w:rsidR="00932A87">
        <w:rPr>
          <w:rFonts w:ascii="Arial" w:hAnsi="Arial" w:cs="Arial"/>
          <w:sz w:val="22"/>
          <w:szCs w:val="22"/>
        </w:rPr>
        <w:t xml:space="preserve">these </w:t>
      </w:r>
      <w:r w:rsidRPr="00B51BD9">
        <w:rPr>
          <w:rFonts w:ascii="Arial" w:hAnsi="Arial" w:cs="Arial"/>
          <w:sz w:val="22"/>
          <w:szCs w:val="22"/>
        </w:rPr>
        <w:t>self-antigens</w:t>
      </w:r>
      <w:r w:rsidR="00035CCA" w:rsidRPr="00B51BD9">
        <w:rPr>
          <w:rFonts w:ascii="Arial" w:hAnsi="Arial" w:cs="Arial"/>
          <w:sz w:val="22"/>
          <w:szCs w:val="22"/>
        </w:rPr>
        <w:t xml:space="preserve"> </w:t>
      </w:r>
      <w:r w:rsidRPr="00B51BD9">
        <w:rPr>
          <w:rFonts w:ascii="Arial" w:hAnsi="Arial" w:cs="Arial"/>
          <w:sz w:val="22"/>
          <w:szCs w:val="22"/>
        </w:rPr>
        <w:t xml:space="preserve">[3]. Recent studies have also identified extra Thymic AIRE expressing Cells (eTACs) in </w:t>
      </w:r>
      <w:r w:rsidR="003472E3" w:rsidRPr="00B51BD9">
        <w:rPr>
          <w:rFonts w:ascii="Arial" w:hAnsi="Arial" w:cs="Arial"/>
          <w:sz w:val="22"/>
          <w:szCs w:val="22"/>
        </w:rPr>
        <w:t>p</w:t>
      </w:r>
      <w:r w:rsidRPr="00B51BD9">
        <w:rPr>
          <w:rFonts w:ascii="Arial" w:hAnsi="Arial" w:cs="Arial"/>
          <w:sz w:val="22"/>
          <w:szCs w:val="22"/>
        </w:rPr>
        <w:t xml:space="preserve">eripheral immune </w:t>
      </w:r>
      <w:r w:rsidR="008F7080" w:rsidRPr="00B51BD9">
        <w:rPr>
          <w:rFonts w:ascii="Arial" w:hAnsi="Arial" w:cs="Arial"/>
          <w:sz w:val="22"/>
          <w:szCs w:val="22"/>
        </w:rPr>
        <w:t>organs,</w:t>
      </w:r>
      <w:r w:rsidRPr="00B51BD9">
        <w:rPr>
          <w:rFonts w:ascii="Arial" w:hAnsi="Arial" w:cs="Arial"/>
          <w:sz w:val="22"/>
          <w:szCs w:val="22"/>
        </w:rPr>
        <w:t xml:space="preserve"> such as lymph nodes and the spleen [4].</w:t>
      </w:r>
      <w:r w:rsidR="00C87FC2" w:rsidRPr="00B51BD9">
        <w:rPr>
          <w:rFonts w:ascii="Arial" w:hAnsi="Arial" w:cs="Arial"/>
          <w:sz w:val="22"/>
          <w:szCs w:val="22"/>
        </w:rPr>
        <w:t xml:space="preserve"> </w:t>
      </w:r>
      <w:r w:rsidR="004767C7" w:rsidRPr="00B51BD9">
        <w:rPr>
          <w:rFonts w:ascii="Arial" w:hAnsi="Arial" w:cs="Arial"/>
          <w:sz w:val="22"/>
          <w:szCs w:val="22"/>
        </w:rPr>
        <w:t>Markedly</w:t>
      </w:r>
      <w:r w:rsidR="00E25C2C" w:rsidRPr="00B51BD9">
        <w:rPr>
          <w:rFonts w:ascii="Arial" w:hAnsi="Arial" w:cs="Arial"/>
          <w:sz w:val="22"/>
          <w:szCs w:val="22"/>
        </w:rPr>
        <w:t>, the self</w:t>
      </w:r>
      <w:r w:rsidR="00C87FC2" w:rsidRPr="00B51BD9">
        <w:rPr>
          <w:rFonts w:ascii="Arial" w:hAnsi="Arial" w:cs="Arial"/>
          <w:sz w:val="22"/>
          <w:szCs w:val="22"/>
        </w:rPr>
        <w:t xml:space="preserve">-antigens expressed </w:t>
      </w:r>
      <w:r w:rsidR="00F35DFB" w:rsidRPr="00B51BD9">
        <w:rPr>
          <w:rFonts w:ascii="Arial" w:hAnsi="Arial" w:cs="Arial"/>
          <w:sz w:val="22"/>
          <w:szCs w:val="22"/>
        </w:rPr>
        <w:t>in</w:t>
      </w:r>
      <w:r w:rsidRPr="00B51BD9">
        <w:rPr>
          <w:rFonts w:ascii="Arial" w:hAnsi="Arial" w:cs="Arial"/>
          <w:sz w:val="22"/>
          <w:szCs w:val="22"/>
        </w:rPr>
        <w:t xml:space="preserve"> thymic cells </w:t>
      </w:r>
      <w:r w:rsidR="00F35DFB" w:rsidRPr="00B51BD9">
        <w:rPr>
          <w:rFonts w:ascii="Arial" w:hAnsi="Arial" w:cs="Arial"/>
          <w:sz w:val="22"/>
          <w:szCs w:val="22"/>
        </w:rPr>
        <w:t>differ from</w:t>
      </w:r>
      <w:r w:rsidR="00932A87">
        <w:rPr>
          <w:rFonts w:ascii="Arial" w:hAnsi="Arial" w:cs="Arial"/>
          <w:sz w:val="22"/>
          <w:szCs w:val="22"/>
        </w:rPr>
        <w:t xml:space="preserve"> those in</w:t>
      </w:r>
      <w:r w:rsidRPr="00B51BD9">
        <w:rPr>
          <w:rFonts w:ascii="Arial" w:hAnsi="Arial" w:cs="Arial"/>
          <w:sz w:val="22"/>
          <w:szCs w:val="22"/>
        </w:rPr>
        <w:t xml:space="preserve"> eTACs [4]. </w:t>
      </w:r>
      <w:r w:rsidR="00F35DFB" w:rsidRPr="00B51BD9">
        <w:rPr>
          <w:rFonts w:ascii="Arial" w:hAnsi="Arial" w:cs="Arial"/>
          <w:i/>
          <w:sz w:val="22"/>
          <w:szCs w:val="22"/>
        </w:rPr>
        <w:t xml:space="preserve">Despite these findings, </w:t>
      </w:r>
      <w:r w:rsidR="004B27A2" w:rsidRPr="00B51BD9">
        <w:rPr>
          <w:rFonts w:ascii="Arial" w:hAnsi="Arial" w:cs="Arial"/>
          <w:i/>
          <w:sz w:val="22"/>
          <w:szCs w:val="22"/>
        </w:rPr>
        <w:t>AIRE</w:t>
      </w:r>
      <w:r w:rsidR="00B94FE3" w:rsidRPr="00B51BD9">
        <w:rPr>
          <w:rFonts w:ascii="Arial" w:hAnsi="Arial" w:cs="Arial"/>
          <w:i/>
          <w:sz w:val="22"/>
          <w:szCs w:val="22"/>
        </w:rPr>
        <w:t>’s role in the</w:t>
      </w:r>
      <w:r w:rsidR="001D556E" w:rsidRPr="00B51BD9">
        <w:rPr>
          <w:rFonts w:ascii="Arial" w:hAnsi="Arial" w:cs="Arial"/>
          <w:i/>
          <w:sz w:val="22"/>
          <w:szCs w:val="22"/>
        </w:rPr>
        <w:t xml:space="preserve"> transcription of unique self-antigens in eTACs</w:t>
      </w:r>
      <w:r w:rsidR="004B27A2" w:rsidRPr="00B51BD9">
        <w:rPr>
          <w:rFonts w:ascii="Arial" w:hAnsi="Arial" w:cs="Arial"/>
          <w:i/>
          <w:sz w:val="22"/>
          <w:szCs w:val="22"/>
        </w:rPr>
        <w:t xml:space="preserve"> remains unclear</w:t>
      </w:r>
      <w:r w:rsidR="001D556E" w:rsidRPr="00B51BD9">
        <w:rPr>
          <w:rFonts w:ascii="Arial" w:hAnsi="Arial" w:cs="Arial"/>
          <w:i/>
          <w:sz w:val="22"/>
          <w:szCs w:val="22"/>
        </w:rPr>
        <w:t>.</w:t>
      </w:r>
    </w:p>
    <w:p w14:paraId="3ED80309" w14:textId="77777777" w:rsidR="00C87FC2" w:rsidRPr="00B51BD9" w:rsidRDefault="00C87FC2" w:rsidP="001408AA">
      <w:pPr>
        <w:rPr>
          <w:rFonts w:ascii="Arial" w:hAnsi="Arial" w:cs="Arial"/>
          <w:sz w:val="22"/>
          <w:szCs w:val="22"/>
        </w:rPr>
      </w:pPr>
    </w:p>
    <w:p w14:paraId="6557DD1B" w14:textId="371657B0" w:rsidR="00500192" w:rsidRPr="00AB08EA" w:rsidRDefault="00F12EA6" w:rsidP="001408AA">
      <w:pPr>
        <w:rPr>
          <w:rFonts w:ascii="Arial" w:hAnsi="Arial" w:cs="Arial"/>
          <w:sz w:val="22"/>
          <w:szCs w:val="22"/>
        </w:rPr>
      </w:pPr>
      <w:r w:rsidRPr="00B51BD9">
        <w:rPr>
          <w:rFonts w:ascii="Arial" w:hAnsi="Arial" w:cs="Arial"/>
          <w:sz w:val="22"/>
          <w:szCs w:val="22"/>
        </w:rPr>
        <w:t>My</w:t>
      </w:r>
      <w:r w:rsidR="001408AA" w:rsidRPr="00B51BD9">
        <w:rPr>
          <w:rFonts w:ascii="Arial" w:hAnsi="Arial" w:cs="Arial"/>
          <w:sz w:val="22"/>
          <w:szCs w:val="22"/>
        </w:rPr>
        <w:t xml:space="preserve"> </w:t>
      </w:r>
      <w:r w:rsidR="001408AA" w:rsidRPr="00B51BD9">
        <w:rPr>
          <w:rFonts w:ascii="Arial" w:hAnsi="Arial" w:cs="Arial"/>
          <w:b/>
          <w:sz w:val="22"/>
          <w:szCs w:val="22"/>
        </w:rPr>
        <w:t>long term goal</w:t>
      </w:r>
      <w:r w:rsidR="001408AA" w:rsidRPr="00B51BD9">
        <w:rPr>
          <w:rFonts w:ascii="Arial" w:hAnsi="Arial" w:cs="Arial"/>
          <w:sz w:val="22"/>
          <w:szCs w:val="22"/>
        </w:rPr>
        <w:t xml:space="preserve"> is to understand how AIRE contributes to peripheral immune tolerance, which will shed light on </w:t>
      </w:r>
      <w:r w:rsidR="009C5E96" w:rsidRPr="00B51BD9">
        <w:rPr>
          <w:rFonts w:ascii="Arial" w:hAnsi="Arial" w:cs="Arial"/>
          <w:sz w:val="22"/>
          <w:szCs w:val="22"/>
        </w:rPr>
        <w:t>why</w:t>
      </w:r>
      <w:r w:rsidR="001408AA" w:rsidRPr="00B51BD9">
        <w:rPr>
          <w:rFonts w:ascii="Arial" w:hAnsi="Arial" w:cs="Arial"/>
          <w:sz w:val="22"/>
          <w:szCs w:val="22"/>
        </w:rPr>
        <w:t xml:space="preserve"> AIRE </w:t>
      </w:r>
      <w:r w:rsidRPr="00B51BD9">
        <w:rPr>
          <w:rFonts w:ascii="Arial" w:hAnsi="Arial" w:cs="Arial"/>
          <w:sz w:val="22"/>
          <w:szCs w:val="22"/>
        </w:rPr>
        <w:t>loss of function causes</w:t>
      </w:r>
      <w:r w:rsidR="001408AA" w:rsidRPr="00B51BD9">
        <w:rPr>
          <w:rFonts w:ascii="Arial" w:hAnsi="Arial" w:cs="Arial"/>
          <w:sz w:val="22"/>
          <w:szCs w:val="22"/>
        </w:rPr>
        <w:t xml:space="preserve"> endocrine and ectodermal disorders</w:t>
      </w:r>
      <w:r w:rsidR="006A6616" w:rsidRPr="00B51BD9">
        <w:rPr>
          <w:rFonts w:ascii="Arial" w:hAnsi="Arial" w:cs="Arial"/>
          <w:sz w:val="22"/>
          <w:szCs w:val="22"/>
        </w:rPr>
        <w:t xml:space="preserve"> in APECED</w:t>
      </w:r>
      <w:r w:rsidR="0099002A" w:rsidRPr="00B51BD9">
        <w:rPr>
          <w:rFonts w:ascii="Arial" w:hAnsi="Arial" w:cs="Arial"/>
          <w:sz w:val="22"/>
          <w:szCs w:val="22"/>
        </w:rPr>
        <w:t xml:space="preserve"> patients</w:t>
      </w:r>
      <w:r w:rsidR="001408AA" w:rsidRPr="00B51BD9">
        <w:rPr>
          <w:rFonts w:ascii="Arial" w:hAnsi="Arial" w:cs="Arial"/>
          <w:sz w:val="22"/>
          <w:szCs w:val="22"/>
        </w:rPr>
        <w:t xml:space="preserve">. </w:t>
      </w:r>
      <w:r w:rsidR="001B4FD9" w:rsidRPr="00B51BD9">
        <w:rPr>
          <w:rFonts w:ascii="Arial" w:hAnsi="Arial" w:cs="Arial"/>
          <w:sz w:val="22"/>
          <w:szCs w:val="22"/>
        </w:rPr>
        <w:t xml:space="preserve">My </w:t>
      </w:r>
      <w:r w:rsidR="001408AA" w:rsidRPr="00B51BD9">
        <w:rPr>
          <w:rFonts w:ascii="Arial" w:hAnsi="Arial" w:cs="Arial"/>
          <w:b/>
          <w:sz w:val="22"/>
          <w:szCs w:val="22"/>
        </w:rPr>
        <w:t xml:space="preserve">primary goal </w:t>
      </w:r>
      <w:r w:rsidR="00FB1466" w:rsidRPr="00B51BD9">
        <w:rPr>
          <w:rFonts w:ascii="Arial" w:hAnsi="Arial" w:cs="Arial"/>
          <w:sz w:val="22"/>
          <w:szCs w:val="22"/>
        </w:rPr>
        <w:t xml:space="preserve">is to </w:t>
      </w:r>
      <w:r w:rsidR="00762E3E">
        <w:rPr>
          <w:rFonts w:ascii="Arial" w:hAnsi="Arial" w:cs="Arial"/>
          <w:sz w:val="22"/>
          <w:szCs w:val="22"/>
        </w:rPr>
        <w:t xml:space="preserve">better understand the mechanism by which </w:t>
      </w:r>
      <w:r w:rsidR="00AB08EA">
        <w:rPr>
          <w:rFonts w:ascii="Arial" w:hAnsi="Arial" w:cs="Arial"/>
          <w:sz w:val="22"/>
          <w:szCs w:val="22"/>
        </w:rPr>
        <w:t>AIRE promotes the expression of unique self-antigens in eTACs</w:t>
      </w:r>
      <w:r w:rsidR="00CA2481">
        <w:rPr>
          <w:rFonts w:ascii="Arial" w:hAnsi="Arial" w:cs="Arial"/>
          <w:sz w:val="22"/>
          <w:szCs w:val="22"/>
        </w:rPr>
        <w:t>.</w:t>
      </w:r>
      <w:r w:rsidR="00AB08EA">
        <w:rPr>
          <w:rFonts w:ascii="Arial" w:hAnsi="Arial" w:cs="Arial"/>
          <w:sz w:val="22"/>
          <w:szCs w:val="22"/>
        </w:rPr>
        <w:t xml:space="preserve"> </w:t>
      </w:r>
      <w:r w:rsidR="001269A4" w:rsidRPr="00B51BD9">
        <w:rPr>
          <w:rFonts w:ascii="Arial" w:hAnsi="Arial" w:cs="Arial"/>
          <w:sz w:val="22"/>
          <w:szCs w:val="22"/>
        </w:rPr>
        <w:t>A mouse model will be used</w:t>
      </w:r>
      <w:r w:rsidR="0099002A" w:rsidRPr="00B51BD9">
        <w:rPr>
          <w:rFonts w:ascii="Arial" w:hAnsi="Arial" w:cs="Arial"/>
          <w:sz w:val="22"/>
          <w:szCs w:val="22"/>
        </w:rPr>
        <w:t xml:space="preserve"> </w:t>
      </w:r>
      <w:r w:rsidR="008445CB" w:rsidRPr="00B51BD9">
        <w:rPr>
          <w:rFonts w:ascii="Arial" w:hAnsi="Arial" w:cs="Arial"/>
          <w:sz w:val="22"/>
          <w:szCs w:val="22"/>
        </w:rPr>
        <w:t>because AIRE knockout mice</w:t>
      </w:r>
      <w:r w:rsidR="008445CB" w:rsidRPr="00B51BD9">
        <w:rPr>
          <w:rFonts w:ascii="Arial" w:hAnsi="Arial" w:cs="Arial"/>
          <w:sz w:val="22"/>
          <w:szCs w:val="22"/>
        </w:rPr>
        <w:t xml:space="preserve"> </w:t>
      </w:r>
      <w:r w:rsidR="00BC6398" w:rsidRPr="00B51BD9">
        <w:rPr>
          <w:rFonts w:ascii="Arial" w:hAnsi="Arial" w:cs="Arial"/>
          <w:sz w:val="22"/>
          <w:szCs w:val="22"/>
        </w:rPr>
        <w:t>show similar autoimmune symptoms to APECED patients</w:t>
      </w:r>
      <w:r w:rsidR="00296AF5">
        <w:rPr>
          <w:rFonts w:ascii="Arial" w:hAnsi="Arial" w:cs="Arial"/>
          <w:sz w:val="22"/>
          <w:szCs w:val="22"/>
        </w:rPr>
        <w:t xml:space="preserve"> [5]. </w:t>
      </w:r>
      <w:r w:rsidR="001408AA" w:rsidRPr="00B51BD9">
        <w:rPr>
          <w:rFonts w:ascii="Arial" w:hAnsi="Arial" w:cs="Arial"/>
          <w:sz w:val="22"/>
          <w:szCs w:val="22"/>
        </w:rPr>
        <w:t xml:space="preserve">My </w:t>
      </w:r>
      <w:r w:rsidR="001408AA" w:rsidRPr="00B51BD9">
        <w:rPr>
          <w:rFonts w:ascii="Arial" w:hAnsi="Arial" w:cs="Arial"/>
          <w:b/>
          <w:sz w:val="22"/>
          <w:szCs w:val="22"/>
        </w:rPr>
        <w:t xml:space="preserve">hypothesis </w:t>
      </w:r>
      <w:r w:rsidR="00152522" w:rsidRPr="00B51BD9">
        <w:rPr>
          <w:rFonts w:ascii="Arial" w:hAnsi="Arial" w:cs="Arial"/>
          <w:sz w:val="22"/>
          <w:szCs w:val="22"/>
        </w:rPr>
        <w:t>is that</w:t>
      </w:r>
      <w:r w:rsidR="001408AA" w:rsidRPr="00B51BD9">
        <w:rPr>
          <w:rFonts w:ascii="Arial" w:hAnsi="Arial" w:cs="Arial"/>
          <w:sz w:val="22"/>
          <w:szCs w:val="22"/>
        </w:rPr>
        <w:t xml:space="preserve"> </w:t>
      </w:r>
      <w:r w:rsidR="003656A7" w:rsidRPr="00B51BD9">
        <w:rPr>
          <w:rFonts w:ascii="Arial" w:hAnsi="Arial" w:cs="Arial"/>
          <w:sz w:val="22"/>
          <w:szCs w:val="22"/>
        </w:rPr>
        <w:t xml:space="preserve">the </w:t>
      </w:r>
      <w:r w:rsidR="001408AA" w:rsidRPr="00B51BD9">
        <w:rPr>
          <w:rFonts w:ascii="Arial" w:hAnsi="Arial" w:cs="Arial"/>
          <w:sz w:val="22"/>
          <w:szCs w:val="22"/>
        </w:rPr>
        <w:t xml:space="preserve">AIRE transcription </w:t>
      </w:r>
      <w:r w:rsidR="003656A7" w:rsidRPr="00B51BD9">
        <w:rPr>
          <w:rFonts w:ascii="Arial" w:hAnsi="Arial" w:cs="Arial"/>
          <w:sz w:val="22"/>
          <w:szCs w:val="22"/>
        </w:rPr>
        <w:t xml:space="preserve">complex </w:t>
      </w:r>
      <w:r w:rsidR="00762E3E">
        <w:rPr>
          <w:rFonts w:ascii="Arial" w:hAnsi="Arial" w:cs="Arial"/>
          <w:sz w:val="22"/>
          <w:szCs w:val="22"/>
        </w:rPr>
        <w:t xml:space="preserve">in eTACs </w:t>
      </w:r>
      <w:r w:rsidR="003656A7" w:rsidRPr="00B51BD9">
        <w:rPr>
          <w:rFonts w:ascii="Arial" w:hAnsi="Arial" w:cs="Arial"/>
          <w:sz w:val="22"/>
          <w:szCs w:val="22"/>
        </w:rPr>
        <w:t xml:space="preserve">has different </w:t>
      </w:r>
      <w:r w:rsidR="001408AA" w:rsidRPr="00B51BD9">
        <w:rPr>
          <w:rFonts w:ascii="Arial" w:hAnsi="Arial" w:cs="Arial"/>
          <w:sz w:val="22"/>
          <w:szCs w:val="22"/>
        </w:rPr>
        <w:t>co</w:t>
      </w:r>
      <w:r w:rsidR="00531D5B">
        <w:rPr>
          <w:rFonts w:ascii="Arial" w:hAnsi="Arial" w:cs="Arial"/>
          <w:sz w:val="22"/>
          <w:szCs w:val="22"/>
        </w:rPr>
        <w:t>activators</w:t>
      </w:r>
      <w:r w:rsidR="001408AA" w:rsidRPr="00B51BD9">
        <w:rPr>
          <w:rFonts w:ascii="Arial" w:hAnsi="Arial" w:cs="Arial"/>
          <w:sz w:val="22"/>
          <w:szCs w:val="22"/>
        </w:rPr>
        <w:t xml:space="preserve"> </w:t>
      </w:r>
      <w:r w:rsidR="003656A7" w:rsidRPr="00B51BD9">
        <w:rPr>
          <w:rFonts w:ascii="Arial" w:hAnsi="Arial" w:cs="Arial"/>
          <w:sz w:val="22"/>
          <w:szCs w:val="22"/>
        </w:rPr>
        <w:t xml:space="preserve">than </w:t>
      </w:r>
      <w:r w:rsidR="001408AA" w:rsidRPr="00B51BD9">
        <w:rPr>
          <w:rFonts w:ascii="Arial" w:hAnsi="Arial" w:cs="Arial"/>
          <w:sz w:val="22"/>
          <w:szCs w:val="22"/>
        </w:rPr>
        <w:t>the thym</w:t>
      </w:r>
      <w:r w:rsidR="003312ED" w:rsidRPr="00B51BD9">
        <w:rPr>
          <w:rFonts w:ascii="Arial" w:hAnsi="Arial" w:cs="Arial"/>
          <w:sz w:val="22"/>
          <w:szCs w:val="22"/>
        </w:rPr>
        <w:t>us</w:t>
      </w:r>
      <w:r w:rsidR="00466AF2" w:rsidRPr="00B51BD9">
        <w:rPr>
          <w:rFonts w:ascii="Arial" w:hAnsi="Arial" w:cs="Arial"/>
          <w:sz w:val="22"/>
          <w:szCs w:val="22"/>
        </w:rPr>
        <w:t xml:space="preserve">, </w:t>
      </w:r>
      <w:r w:rsidR="00F549BA" w:rsidRPr="00B51BD9">
        <w:rPr>
          <w:rFonts w:ascii="Arial" w:hAnsi="Arial" w:cs="Arial"/>
          <w:sz w:val="22"/>
          <w:szCs w:val="22"/>
        </w:rPr>
        <w:t>causing the</w:t>
      </w:r>
      <w:r w:rsidR="00DB2404" w:rsidRPr="00B51BD9">
        <w:rPr>
          <w:rFonts w:ascii="Arial" w:hAnsi="Arial" w:cs="Arial"/>
          <w:sz w:val="22"/>
          <w:szCs w:val="22"/>
        </w:rPr>
        <w:t xml:space="preserve"> </w:t>
      </w:r>
      <w:r w:rsidR="003312ED" w:rsidRPr="00B51BD9">
        <w:rPr>
          <w:rFonts w:ascii="Arial" w:hAnsi="Arial" w:cs="Arial"/>
          <w:sz w:val="22"/>
          <w:szCs w:val="22"/>
        </w:rPr>
        <w:t xml:space="preserve">different self-antigen </w:t>
      </w:r>
      <w:r w:rsidR="001408AA" w:rsidRPr="00B51BD9">
        <w:rPr>
          <w:rFonts w:ascii="Arial" w:hAnsi="Arial" w:cs="Arial"/>
          <w:sz w:val="22"/>
          <w:szCs w:val="22"/>
        </w:rPr>
        <w:t>expression</w:t>
      </w:r>
      <w:r w:rsidR="007118E7" w:rsidRPr="00B51BD9">
        <w:rPr>
          <w:rFonts w:ascii="Arial" w:hAnsi="Arial" w:cs="Arial"/>
          <w:sz w:val="22"/>
          <w:szCs w:val="22"/>
        </w:rPr>
        <w:t xml:space="preserve"> between the thymus and periphery</w:t>
      </w:r>
      <w:r w:rsidR="001408AA" w:rsidRPr="00B51BD9">
        <w:rPr>
          <w:rFonts w:ascii="Arial" w:hAnsi="Arial" w:cs="Arial"/>
          <w:sz w:val="22"/>
          <w:szCs w:val="22"/>
        </w:rPr>
        <w:t>.</w:t>
      </w:r>
      <w:r w:rsidR="00617278" w:rsidRPr="00B51BD9">
        <w:rPr>
          <w:rFonts w:ascii="Arial" w:hAnsi="Arial" w:cs="Arial"/>
          <w:sz w:val="22"/>
          <w:szCs w:val="22"/>
        </w:rPr>
        <w:t xml:space="preserve"> </w:t>
      </w:r>
    </w:p>
    <w:p w14:paraId="77CB73CE" w14:textId="77777777" w:rsidR="00AB08EA" w:rsidRDefault="00AB08EA" w:rsidP="001408AA">
      <w:pPr>
        <w:rPr>
          <w:rFonts w:ascii="Arial" w:hAnsi="Arial" w:cs="Arial"/>
          <w:sz w:val="22"/>
          <w:szCs w:val="22"/>
          <w:u w:val="single"/>
        </w:rPr>
      </w:pPr>
    </w:p>
    <w:p w14:paraId="62809709" w14:textId="1806F86A" w:rsidR="0056569D" w:rsidRPr="00B51BD9" w:rsidRDefault="0056569D" w:rsidP="001408AA">
      <w:pPr>
        <w:rPr>
          <w:rFonts w:ascii="Arial" w:hAnsi="Arial" w:cs="Arial"/>
          <w:sz w:val="22"/>
          <w:szCs w:val="22"/>
          <w:u w:val="single"/>
        </w:rPr>
      </w:pPr>
      <w:r w:rsidRPr="00B51BD9">
        <w:rPr>
          <w:rFonts w:ascii="Arial" w:hAnsi="Arial" w:cs="Arial"/>
          <w:b/>
          <w:sz w:val="22"/>
          <w:szCs w:val="22"/>
        </w:rPr>
        <w:t>Aim 1: Uncover which AIRE domains are sufficient for self-antigen expression in</w:t>
      </w:r>
      <w:bookmarkStart w:id="0" w:name="_GoBack"/>
      <w:bookmarkEnd w:id="0"/>
      <w:r w:rsidRPr="00B51BD9">
        <w:rPr>
          <w:rFonts w:ascii="Arial" w:hAnsi="Arial" w:cs="Arial"/>
          <w:b/>
          <w:sz w:val="22"/>
          <w:szCs w:val="22"/>
        </w:rPr>
        <w:t xml:space="preserve"> eTACs.</w:t>
      </w:r>
      <w:r w:rsidRPr="00B51BD9">
        <w:rPr>
          <w:rFonts w:ascii="Arial" w:hAnsi="Arial" w:cs="Arial"/>
          <w:sz w:val="22"/>
          <w:szCs w:val="22"/>
        </w:rPr>
        <w:t xml:space="preserve"> </w:t>
      </w:r>
      <w:r w:rsidRPr="00B51BD9">
        <w:rPr>
          <w:rFonts w:ascii="Arial" w:hAnsi="Arial" w:cs="Arial"/>
          <w:b/>
          <w:sz w:val="22"/>
          <w:szCs w:val="22"/>
        </w:rPr>
        <w:t>Approach:</w:t>
      </w:r>
      <w:r w:rsidR="007B0DF6">
        <w:rPr>
          <w:rFonts w:ascii="Arial" w:hAnsi="Arial" w:cs="Arial"/>
          <w:sz w:val="22"/>
          <w:szCs w:val="22"/>
        </w:rPr>
        <w:t xml:space="preserve"> Using mice with </w:t>
      </w:r>
      <w:r w:rsidRPr="00B51BD9">
        <w:rPr>
          <w:rFonts w:ascii="Arial" w:hAnsi="Arial" w:cs="Arial"/>
          <w:sz w:val="22"/>
          <w:szCs w:val="22"/>
        </w:rPr>
        <w:t>single-domain AIRE constructs</w:t>
      </w:r>
      <w:r w:rsidR="007B0DF6">
        <w:rPr>
          <w:rFonts w:ascii="Arial" w:hAnsi="Arial" w:cs="Arial"/>
          <w:sz w:val="22"/>
          <w:szCs w:val="22"/>
        </w:rPr>
        <w:t>+GFP</w:t>
      </w:r>
      <w:r w:rsidRPr="00B51BD9">
        <w:rPr>
          <w:rFonts w:ascii="Arial" w:hAnsi="Arial" w:cs="Arial"/>
          <w:sz w:val="22"/>
          <w:szCs w:val="22"/>
        </w:rPr>
        <w:t xml:space="preserve"> and AIRE+GFP wild type (WT) mice, lymph nodes will be collected and GFP+ cells will be isolated using flow cytometry. RNA-seq will be used to quantify the mRNA levels of self-antigens—including hormones, cell adhesion</w:t>
      </w:r>
      <w:r w:rsidR="00CB215C">
        <w:rPr>
          <w:rFonts w:ascii="Arial" w:hAnsi="Arial" w:cs="Arial"/>
          <w:sz w:val="22"/>
          <w:szCs w:val="22"/>
        </w:rPr>
        <w:t xml:space="preserve"> proteins</w:t>
      </w:r>
      <w:r w:rsidRPr="00B51BD9">
        <w:rPr>
          <w:rFonts w:ascii="Arial" w:hAnsi="Arial" w:cs="Arial"/>
          <w:sz w:val="22"/>
          <w:szCs w:val="22"/>
        </w:rPr>
        <w:t>, and</w:t>
      </w:r>
      <w:r w:rsidR="00935E43" w:rsidRPr="00B51BD9">
        <w:rPr>
          <w:rFonts w:ascii="Arial" w:hAnsi="Arial" w:cs="Arial"/>
          <w:sz w:val="22"/>
          <w:szCs w:val="22"/>
        </w:rPr>
        <w:t xml:space="preserve"> mucosal proteins [</w:t>
      </w:r>
      <w:r w:rsidR="00453DA8">
        <w:rPr>
          <w:rFonts w:ascii="Arial" w:hAnsi="Arial" w:cs="Arial"/>
          <w:sz w:val="22"/>
          <w:szCs w:val="22"/>
        </w:rPr>
        <w:t>6]</w:t>
      </w:r>
      <w:r w:rsidR="00935E43" w:rsidRPr="00B51BD9">
        <w:rPr>
          <w:rFonts w:ascii="Arial" w:hAnsi="Arial" w:cs="Arial"/>
          <w:sz w:val="22"/>
          <w:szCs w:val="22"/>
        </w:rPr>
        <w:t xml:space="preserve">–in </w:t>
      </w:r>
      <w:r w:rsidRPr="00B51BD9">
        <w:rPr>
          <w:rFonts w:ascii="Arial" w:hAnsi="Arial" w:cs="Arial"/>
          <w:sz w:val="22"/>
          <w:szCs w:val="22"/>
        </w:rPr>
        <w:t>WT</w:t>
      </w:r>
      <w:r w:rsidR="00737A05">
        <w:rPr>
          <w:rFonts w:ascii="Arial" w:hAnsi="Arial" w:cs="Arial"/>
          <w:sz w:val="22"/>
          <w:szCs w:val="22"/>
        </w:rPr>
        <w:t xml:space="preserve"> versus single-domain</w:t>
      </w:r>
      <w:r w:rsidRPr="00B51BD9">
        <w:rPr>
          <w:rFonts w:ascii="Arial" w:hAnsi="Arial" w:cs="Arial"/>
          <w:sz w:val="22"/>
          <w:szCs w:val="22"/>
        </w:rPr>
        <w:t xml:space="preserve"> eTACs. </w:t>
      </w:r>
      <w:r w:rsidRPr="00B51BD9">
        <w:rPr>
          <w:rFonts w:ascii="Arial" w:hAnsi="Arial" w:cs="Arial"/>
          <w:b/>
          <w:sz w:val="22"/>
          <w:szCs w:val="22"/>
        </w:rPr>
        <w:t>Rationale:</w:t>
      </w:r>
      <w:r w:rsidRPr="00B51BD9">
        <w:rPr>
          <w:rFonts w:ascii="Arial" w:hAnsi="Arial" w:cs="Arial"/>
          <w:sz w:val="22"/>
          <w:szCs w:val="22"/>
        </w:rPr>
        <w:t xml:space="preserve"> Examining self-anti</w:t>
      </w:r>
      <w:r w:rsidR="00935E43" w:rsidRPr="00B51BD9">
        <w:rPr>
          <w:rFonts w:ascii="Arial" w:hAnsi="Arial" w:cs="Arial"/>
          <w:sz w:val="22"/>
          <w:szCs w:val="22"/>
        </w:rPr>
        <w:t>gen transcripts in WT v</w:t>
      </w:r>
      <w:r w:rsidR="009E4686">
        <w:rPr>
          <w:rFonts w:ascii="Arial" w:hAnsi="Arial" w:cs="Arial"/>
          <w:sz w:val="22"/>
          <w:szCs w:val="22"/>
        </w:rPr>
        <w:t>ersu</w:t>
      </w:r>
      <w:r w:rsidR="00935E43" w:rsidRPr="00B51BD9">
        <w:rPr>
          <w:rFonts w:ascii="Arial" w:hAnsi="Arial" w:cs="Arial"/>
          <w:sz w:val="22"/>
          <w:szCs w:val="22"/>
        </w:rPr>
        <w:t>s single-</w:t>
      </w:r>
      <w:r w:rsidRPr="00B51BD9">
        <w:rPr>
          <w:rFonts w:ascii="Arial" w:hAnsi="Arial" w:cs="Arial"/>
          <w:sz w:val="22"/>
          <w:szCs w:val="22"/>
        </w:rPr>
        <w:t>domain eTACs will uncover which</w:t>
      </w:r>
      <w:r w:rsidR="00935E43" w:rsidRPr="00B51BD9">
        <w:rPr>
          <w:rFonts w:ascii="Arial" w:hAnsi="Arial" w:cs="Arial"/>
          <w:sz w:val="22"/>
          <w:szCs w:val="22"/>
        </w:rPr>
        <w:t xml:space="preserve"> AIRE</w:t>
      </w:r>
      <w:r w:rsidRPr="00B51BD9">
        <w:rPr>
          <w:rFonts w:ascii="Arial" w:hAnsi="Arial" w:cs="Arial"/>
          <w:sz w:val="22"/>
          <w:szCs w:val="22"/>
        </w:rPr>
        <w:t xml:space="preserve"> domains are sufficie</w:t>
      </w:r>
      <w:r w:rsidR="00CD1A05">
        <w:rPr>
          <w:rFonts w:ascii="Arial" w:hAnsi="Arial" w:cs="Arial"/>
          <w:sz w:val="22"/>
          <w:szCs w:val="22"/>
        </w:rPr>
        <w:t>nt for expressing self-antigens in eTACs.</w:t>
      </w:r>
      <w:r w:rsidRPr="00B51BD9">
        <w:rPr>
          <w:rFonts w:ascii="Arial" w:hAnsi="Arial" w:cs="Arial"/>
          <w:sz w:val="22"/>
          <w:szCs w:val="22"/>
        </w:rPr>
        <w:t xml:space="preserve"> </w:t>
      </w:r>
      <w:r w:rsidRPr="00B51BD9">
        <w:rPr>
          <w:rFonts w:ascii="Arial" w:hAnsi="Arial" w:cs="Arial"/>
          <w:b/>
          <w:sz w:val="22"/>
          <w:szCs w:val="22"/>
        </w:rPr>
        <w:t>Hypothesis:</w:t>
      </w:r>
      <w:r w:rsidRPr="00B51BD9">
        <w:rPr>
          <w:rFonts w:ascii="Arial" w:hAnsi="Arial" w:cs="Arial"/>
          <w:sz w:val="22"/>
          <w:szCs w:val="22"/>
        </w:rPr>
        <w:t xml:space="preserve"> The highest transcriptional expression of self-antigens is expected in WT mice, followed by mice with AIRE’s PHD domain because studies have shown that PHD is</w:t>
      </w:r>
      <w:r w:rsidR="000833E6" w:rsidRPr="00B51BD9">
        <w:rPr>
          <w:rFonts w:ascii="Arial" w:hAnsi="Arial" w:cs="Arial"/>
          <w:sz w:val="22"/>
          <w:szCs w:val="22"/>
        </w:rPr>
        <w:t xml:space="preserve"> an activation domain [</w:t>
      </w:r>
      <w:r w:rsidR="00296AF5">
        <w:rPr>
          <w:rFonts w:ascii="Arial" w:hAnsi="Arial" w:cs="Arial"/>
          <w:sz w:val="22"/>
          <w:szCs w:val="22"/>
        </w:rPr>
        <w:t>7</w:t>
      </w:r>
      <w:r w:rsidR="000833E6" w:rsidRPr="00B51BD9">
        <w:rPr>
          <w:rFonts w:ascii="Arial" w:hAnsi="Arial" w:cs="Arial"/>
          <w:sz w:val="22"/>
          <w:szCs w:val="22"/>
        </w:rPr>
        <w:t>].</w:t>
      </w:r>
    </w:p>
    <w:p w14:paraId="58D55582" w14:textId="77777777" w:rsidR="0056569D" w:rsidRPr="00B51BD9" w:rsidRDefault="0056569D" w:rsidP="0056569D">
      <w:pPr>
        <w:rPr>
          <w:rFonts w:ascii="Arial" w:hAnsi="Arial" w:cs="Arial"/>
          <w:sz w:val="22"/>
          <w:szCs w:val="22"/>
        </w:rPr>
      </w:pPr>
    </w:p>
    <w:p w14:paraId="68801944" w14:textId="3011B4FB" w:rsidR="0056569D" w:rsidRPr="00B51BD9" w:rsidRDefault="00B727A4" w:rsidP="00140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Aim 2: Evaluate whether</w:t>
      </w:r>
      <w:r w:rsidR="0056569D" w:rsidRPr="00B51BD9">
        <w:rPr>
          <w:rFonts w:ascii="Arial" w:hAnsi="Arial" w:cs="Arial"/>
          <w:b/>
          <w:sz w:val="22"/>
          <w:szCs w:val="22"/>
        </w:rPr>
        <w:t xml:space="preserve"> AIRE mediated self-antigen expression changes over time in eTACs.</w:t>
      </w:r>
      <w:r w:rsidR="000833E6" w:rsidRPr="00B51BD9">
        <w:rPr>
          <w:rFonts w:ascii="Arial" w:hAnsi="Arial" w:cs="Arial"/>
          <w:sz w:val="22"/>
          <w:szCs w:val="22"/>
        </w:rPr>
        <w:t xml:space="preserve"> </w:t>
      </w:r>
      <w:r w:rsidR="0056569D" w:rsidRPr="00B51BD9">
        <w:rPr>
          <w:rFonts w:ascii="Arial" w:hAnsi="Arial" w:cs="Arial"/>
          <w:b/>
          <w:sz w:val="22"/>
          <w:szCs w:val="22"/>
        </w:rPr>
        <w:t>Approach:</w:t>
      </w:r>
      <w:r w:rsidR="0056569D" w:rsidRPr="00B51BD9">
        <w:rPr>
          <w:rFonts w:ascii="Arial" w:hAnsi="Arial" w:cs="Arial"/>
          <w:sz w:val="22"/>
          <w:szCs w:val="22"/>
        </w:rPr>
        <w:t xml:space="preserve"> After harvesting lymph nodes from AIRE+GFP WT mice at three different age points: young, mature adult, and middle age (1, 5, and 10 months, respectively)</w:t>
      </w:r>
      <w:r w:rsidR="00296AF5">
        <w:rPr>
          <w:rFonts w:ascii="Arial" w:hAnsi="Arial" w:cs="Arial"/>
          <w:sz w:val="22"/>
          <w:szCs w:val="22"/>
        </w:rPr>
        <w:t xml:space="preserve"> [</w:t>
      </w:r>
      <w:r w:rsidR="00296AF5" w:rsidRPr="00453DA8">
        <w:rPr>
          <w:rFonts w:ascii="Arial" w:hAnsi="Arial" w:cs="Arial"/>
          <w:sz w:val="22"/>
          <w:szCs w:val="22"/>
        </w:rPr>
        <w:t>8]</w:t>
      </w:r>
      <w:r w:rsidR="0056569D" w:rsidRPr="00B51BD9">
        <w:rPr>
          <w:rFonts w:ascii="Arial" w:hAnsi="Arial" w:cs="Arial"/>
          <w:sz w:val="22"/>
          <w:szCs w:val="22"/>
        </w:rPr>
        <w:t xml:space="preserve">, and isolating GFP+ cells, RNA-seq will be used to analyze self-antigen </w:t>
      </w:r>
      <w:r w:rsidR="00F90451">
        <w:rPr>
          <w:rFonts w:ascii="Arial" w:hAnsi="Arial" w:cs="Arial"/>
          <w:sz w:val="22"/>
          <w:szCs w:val="22"/>
        </w:rPr>
        <w:t xml:space="preserve">mRNA </w:t>
      </w:r>
      <w:r w:rsidR="0056569D" w:rsidRPr="00B51BD9">
        <w:rPr>
          <w:rFonts w:ascii="Arial" w:hAnsi="Arial" w:cs="Arial"/>
          <w:sz w:val="22"/>
          <w:szCs w:val="22"/>
        </w:rPr>
        <w:t xml:space="preserve">expression in eTACs from each time point. </w:t>
      </w:r>
      <w:r w:rsidR="000833E6" w:rsidRPr="00B51BD9">
        <w:rPr>
          <w:rFonts w:ascii="Arial" w:hAnsi="Arial" w:cs="Arial"/>
          <w:b/>
          <w:sz w:val="22"/>
          <w:szCs w:val="22"/>
        </w:rPr>
        <w:t xml:space="preserve">Rationale: </w:t>
      </w:r>
      <w:r w:rsidR="000833E6" w:rsidRPr="00B51BD9">
        <w:rPr>
          <w:rFonts w:ascii="Arial" w:hAnsi="Arial" w:cs="Arial"/>
          <w:sz w:val="22"/>
          <w:szCs w:val="22"/>
        </w:rPr>
        <w:t>In humans,</w:t>
      </w:r>
      <w:r w:rsidR="000833E6" w:rsidRPr="00B51BD9">
        <w:rPr>
          <w:rFonts w:ascii="Arial" w:hAnsi="Arial" w:cs="Arial"/>
          <w:b/>
          <w:sz w:val="22"/>
          <w:szCs w:val="22"/>
        </w:rPr>
        <w:t xml:space="preserve"> </w:t>
      </w:r>
      <w:r w:rsidR="000833E6" w:rsidRPr="00B51BD9">
        <w:rPr>
          <w:rFonts w:ascii="Arial" w:hAnsi="Arial" w:cs="Arial"/>
          <w:sz w:val="22"/>
          <w:szCs w:val="22"/>
        </w:rPr>
        <w:t>initial</w:t>
      </w:r>
      <w:r w:rsidR="000833E6" w:rsidRPr="00B51BD9">
        <w:rPr>
          <w:rFonts w:ascii="Arial" w:hAnsi="Arial" w:cs="Arial"/>
          <w:b/>
          <w:sz w:val="22"/>
          <w:szCs w:val="22"/>
        </w:rPr>
        <w:t xml:space="preserve"> </w:t>
      </w:r>
      <w:r w:rsidR="000833E6" w:rsidRPr="00B51BD9">
        <w:rPr>
          <w:rFonts w:ascii="Arial" w:hAnsi="Arial" w:cs="Arial"/>
          <w:sz w:val="22"/>
          <w:szCs w:val="22"/>
        </w:rPr>
        <w:t xml:space="preserve">APECED symptoms do not present until around age 5, and continue to present throughout life, suggesting that AIRE’s role in eTACs may increase over time. </w:t>
      </w:r>
      <w:r w:rsidR="000833E6" w:rsidRPr="00B51BD9">
        <w:rPr>
          <w:rFonts w:ascii="Arial" w:hAnsi="Arial" w:cs="Arial"/>
          <w:b/>
          <w:sz w:val="22"/>
          <w:szCs w:val="22"/>
        </w:rPr>
        <w:t>Hypothesis:</w:t>
      </w:r>
      <w:r w:rsidR="000833E6" w:rsidRPr="00B51BD9">
        <w:rPr>
          <w:rFonts w:ascii="Arial" w:hAnsi="Arial" w:cs="Arial"/>
          <w:sz w:val="22"/>
          <w:szCs w:val="22"/>
        </w:rPr>
        <w:t xml:space="preserve"> Expression of self-antigens, including </w:t>
      </w:r>
      <w:r w:rsidR="004507FB">
        <w:rPr>
          <w:rFonts w:ascii="Arial" w:hAnsi="Arial" w:cs="Arial"/>
          <w:sz w:val="22"/>
          <w:szCs w:val="22"/>
        </w:rPr>
        <w:t xml:space="preserve">hormones, cell adhesion proteins, and mucosal </w:t>
      </w:r>
      <w:r w:rsidR="000833E6" w:rsidRPr="00B51BD9">
        <w:rPr>
          <w:rFonts w:ascii="Arial" w:hAnsi="Arial" w:cs="Arial"/>
          <w:sz w:val="22"/>
          <w:szCs w:val="22"/>
        </w:rPr>
        <w:t>p</w:t>
      </w:r>
      <w:r w:rsidR="00BF6DC2">
        <w:rPr>
          <w:rFonts w:ascii="Arial" w:hAnsi="Arial" w:cs="Arial"/>
          <w:sz w:val="22"/>
          <w:szCs w:val="22"/>
        </w:rPr>
        <w:t>roteins, in eTACs will increase with age</w:t>
      </w:r>
      <w:r w:rsidR="000833E6" w:rsidRPr="00B51BD9">
        <w:rPr>
          <w:rFonts w:ascii="Arial" w:hAnsi="Arial" w:cs="Arial"/>
          <w:sz w:val="22"/>
          <w:szCs w:val="22"/>
        </w:rPr>
        <w:t>.</w:t>
      </w:r>
    </w:p>
    <w:p w14:paraId="0D6F9929" w14:textId="77777777" w:rsidR="001408AA" w:rsidRPr="00B51BD9" w:rsidRDefault="001408AA" w:rsidP="001408AA">
      <w:pPr>
        <w:rPr>
          <w:rFonts w:ascii="Arial" w:hAnsi="Arial" w:cs="Arial"/>
          <w:sz w:val="22"/>
          <w:szCs w:val="22"/>
        </w:rPr>
      </w:pPr>
    </w:p>
    <w:p w14:paraId="331F02B4" w14:textId="39A1E08A" w:rsidR="004450DA" w:rsidRPr="00B51BD9" w:rsidRDefault="004450DA" w:rsidP="00617278">
      <w:pPr>
        <w:rPr>
          <w:rFonts w:ascii="Arial" w:hAnsi="Arial" w:cs="Arial"/>
          <w:b/>
          <w:sz w:val="22"/>
          <w:szCs w:val="22"/>
        </w:rPr>
      </w:pPr>
      <w:r w:rsidRPr="00B51BD9">
        <w:rPr>
          <w:rFonts w:ascii="Arial" w:hAnsi="Arial" w:cs="Arial"/>
          <w:b/>
          <w:sz w:val="22"/>
          <w:szCs w:val="22"/>
        </w:rPr>
        <w:t xml:space="preserve">Aim 3: Determine which proteins interact with AIRE in eTACs. Approach: </w:t>
      </w:r>
      <w:r w:rsidR="00BB4720" w:rsidRPr="00B51BD9">
        <w:rPr>
          <w:rFonts w:ascii="Arial" w:hAnsi="Arial" w:cs="Arial"/>
          <w:sz w:val="22"/>
          <w:szCs w:val="22"/>
        </w:rPr>
        <w:t>L</w:t>
      </w:r>
      <w:r w:rsidR="00AC2199" w:rsidRPr="00B51BD9">
        <w:rPr>
          <w:rFonts w:ascii="Arial" w:hAnsi="Arial" w:cs="Arial"/>
          <w:sz w:val="22"/>
          <w:szCs w:val="22"/>
        </w:rPr>
        <w:t>ymph nodes</w:t>
      </w:r>
      <w:r w:rsidR="00BB4720" w:rsidRPr="00B51BD9">
        <w:rPr>
          <w:rFonts w:ascii="Arial" w:hAnsi="Arial" w:cs="Arial"/>
          <w:sz w:val="22"/>
          <w:szCs w:val="22"/>
        </w:rPr>
        <w:t xml:space="preserve"> from </w:t>
      </w:r>
      <w:r w:rsidR="00ED393A" w:rsidRPr="00B51BD9">
        <w:rPr>
          <w:rFonts w:ascii="Arial" w:hAnsi="Arial" w:cs="Arial"/>
          <w:sz w:val="22"/>
          <w:szCs w:val="22"/>
        </w:rPr>
        <w:t>WT</w:t>
      </w:r>
      <w:r w:rsidR="00BB4720" w:rsidRPr="00B51BD9">
        <w:rPr>
          <w:rFonts w:ascii="Arial" w:hAnsi="Arial" w:cs="Arial"/>
          <w:sz w:val="22"/>
          <w:szCs w:val="22"/>
        </w:rPr>
        <w:t xml:space="preserve"> mice will be collected and </w:t>
      </w:r>
      <w:r w:rsidRPr="00B51BD9">
        <w:rPr>
          <w:rFonts w:ascii="Arial" w:hAnsi="Arial" w:cs="Arial"/>
          <w:sz w:val="22"/>
          <w:szCs w:val="22"/>
        </w:rPr>
        <w:t>C</w:t>
      </w:r>
      <w:r w:rsidR="00ED393A" w:rsidRPr="00B51BD9">
        <w:rPr>
          <w:rFonts w:ascii="Arial" w:hAnsi="Arial" w:cs="Arial"/>
          <w:sz w:val="22"/>
          <w:szCs w:val="22"/>
        </w:rPr>
        <w:t xml:space="preserve">o-Immunoprecipitation </w:t>
      </w:r>
      <w:r w:rsidRPr="00B51BD9">
        <w:rPr>
          <w:rFonts w:ascii="Arial" w:hAnsi="Arial" w:cs="Arial"/>
          <w:sz w:val="22"/>
          <w:szCs w:val="22"/>
        </w:rPr>
        <w:t>will be used to i</w:t>
      </w:r>
      <w:r w:rsidR="00F8395B" w:rsidRPr="00B51BD9">
        <w:rPr>
          <w:rFonts w:ascii="Arial" w:hAnsi="Arial" w:cs="Arial"/>
          <w:sz w:val="22"/>
          <w:szCs w:val="22"/>
        </w:rPr>
        <w:t>solate</w:t>
      </w:r>
      <w:r w:rsidRPr="00B51BD9">
        <w:rPr>
          <w:rFonts w:ascii="Arial" w:hAnsi="Arial" w:cs="Arial"/>
          <w:sz w:val="22"/>
          <w:szCs w:val="22"/>
        </w:rPr>
        <w:t xml:space="preserve"> proteins that interact with AIRE</w:t>
      </w:r>
      <w:r w:rsidR="00122B35" w:rsidRPr="00B51BD9">
        <w:rPr>
          <w:rFonts w:ascii="Arial" w:hAnsi="Arial" w:cs="Arial"/>
          <w:sz w:val="22"/>
          <w:szCs w:val="22"/>
        </w:rPr>
        <w:t xml:space="preserve">, which will then be analyzed using tandem mass spectrometry. </w:t>
      </w:r>
      <w:r w:rsidRPr="00B51BD9">
        <w:rPr>
          <w:rFonts w:ascii="Arial" w:hAnsi="Arial" w:cs="Arial"/>
          <w:b/>
          <w:sz w:val="22"/>
          <w:szCs w:val="22"/>
        </w:rPr>
        <w:t>Rationale:</w:t>
      </w:r>
      <w:r w:rsidRPr="00B51BD9">
        <w:rPr>
          <w:rFonts w:ascii="Arial" w:hAnsi="Arial" w:cs="Arial"/>
          <w:sz w:val="22"/>
          <w:szCs w:val="22"/>
        </w:rPr>
        <w:t xml:space="preserve"> </w:t>
      </w:r>
      <w:r w:rsidR="004D0977" w:rsidRPr="00B51BD9">
        <w:rPr>
          <w:rFonts w:ascii="Arial" w:hAnsi="Arial" w:cs="Arial"/>
          <w:sz w:val="22"/>
          <w:szCs w:val="22"/>
        </w:rPr>
        <w:t xml:space="preserve">Specific </w:t>
      </w:r>
      <w:r w:rsidR="00CB7162" w:rsidRPr="00B51BD9">
        <w:rPr>
          <w:rFonts w:ascii="Arial" w:hAnsi="Arial" w:cs="Arial"/>
          <w:sz w:val="22"/>
          <w:szCs w:val="22"/>
        </w:rPr>
        <w:t>AIRE</w:t>
      </w:r>
      <w:r w:rsidR="00531D5B">
        <w:rPr>
          <w:rFonts w:ascii="Arial" w:hAnsi="Arial" w:cs="Arial"/>
          <w:sz w:val="22"/>
          <w:szCs w:val="22"/>
        </w:rPr>
        <w:t xml:space="preserve"> coactivators</w:t>
      </w:r>
      <w:r w:rsidRPr="00B51BD9">
        <w:rPr>
          <w:rFonts w:ascii="Arial" w:hAnsi="Arial" w:cs="Arial"/>
          <w:sz w:val="22"/>
          <w:szCs w:val="22"/>
        </w:rPr>
        <w:t xml:space="preserve"> </w:t>
      </w:r>
      <w:r w:rsidR="00CB7162" w:rsidRPr="00B51BD9">
        <w:rPr>
          <w:rFonts w:ascii="Arial" w:hAnsi="Arial" w:cs="Arial"/>
          <w:sz w:val="22"/>
          <w:szCs w:val="22"/>
        </w:rPr>
        <w:t xml:space="preserve">are unknown in </w:t>
      </w:r>
      <w:r w:rsidRPr="00B51BD9">
        <w:rPr>
          <w:rFonts w:ascii="Arial" w:hAnsi="Arial" w:cs="Arial"/>
          <w:sz w:val="22"/>
          <w:szCs w:val="22"/>
        </w:rPr>
        <w:t xml:space="preserve">eTACs, and </w:t>
      </w:r>
      <w:r w:rsidR="0059339D" w:rsidRPr="00B51BD9">
        <w:rPr>
          <w:rFonts w:ascii="Arial" w:hAnsi="Arial" w:cs="Arial"/>
          <w:sz w:val="22"/>
          <w:szCs w:val="22"/>
        </w:rPr>
        <w:t>comparin</w:t>
      </w:r>
      <w:r w:rsidR="004D0977" w:rsidRPr="00B51BD9">
        <w:rPr>
          <w:rFonts w:ascii="Arial" w:hAnsi="Arial" w:cs="Arial"/>
          <w:sz w:val="22"/>
          <w:szCs w:val="22"/>
        </w:rPr>
        <w:t xml:space="preserve">g </w:t>
      </w:r>
      <w:r w:rsidR="0059339D" w:rsidRPr="00B51BD9">
        <w:rPr>
          <w:rFonts w:ascii="Arial" w:hAnsi="Arial" w:cs="Arial"/>
          <w:sz w:val="22"/>
          <w:szCs w:val="22"/>
        </w:rPr>
        <w:t>AIR</w:t>
      </w:r>
      <w:r w:rsidR="00531D5B">
        <w:rPr>
          <w:rFonts w:ascii="Arial" w:hAnsi="Arial" w:cs="Arial"/>
          <w:sz w:val="22"/>
          <w:szCs w:val="22"/>
        </w:rPr>
        <w:t>E coactivators</w:t>
      </w:r>
      <w:r w:rsidR="00750866" w:rsidRPr="00B51BD9">
        <w:rPr>
          <w:rFonts w:ascii="Arial" w:hAnsi="Arial" w:cs="Arial"/>
          <w:sz w:val="22"/>
          <w:szCs w:val="22"/>
        </w:rPr>
        <w:t xml:space="preserve"> in eTACs to</w:t>
      </w:r>
      <w:r w:rsidR="001F64B5" w:rsidRPr="00B51BD9">
        <w:rPr>
          <w:rFonts w:ascii="Arial" w:hAnsi="Arial" w:cs="Arial"/>
          <w:sz w:val="22"/>
          <w:szCs w:val="22"/>
        </w:rPr>
        <w:t xml:space="preserve"> those known in the </w:t>
      </w:r>
      <w:r w:rsidR="0059339D" w:rsidRPr="00B51BD9">
        <w:rPr>
          <w:rFonts w:ascii="Arial" w:hAnsi="Arial" w:cs="Arial"/>
          <w:sz w:val="22"/>
          <w:szCs w:val="22"/>
        </w:rPr>
        <w:t>thymus</w:t>
      </w:r>
      <w:r w:rsidR="000E40A4">
        <w:rPr>
          <w:rFonts w:ascii="Arial" w:hAnsi="Arial" w:cs="Arial"/>
          <w:sz w:val="22"/>
          <w:szCs w:val="22"/>
        </w:rPr>
        <w:t xml:space="preserve"> will enhance our understanding of </w:t>
      </w:r>
      <w:r w:rsidR="001F64B5" w:rsidRPr="00B51BD9">
        <w:rPr>
          <w:rFonts w:ascii="Arial" w:hAnsi="Arial" w:cs="Arial"/>
          <w:sz w:val="22"/>
          <w:szCs w:val="22"/>
        </w:rPr>
        <w:t>self-</w:t>
      </w:r>
      <w:r w:rsidR="004D0977" w:rsidRPr="00B51BD9">
        <w:rPr>
          <w:rFonts w:ascii="Arial" w:hAnsi="Arial" w:cs="Arial"/>
          <w:sz w:val="22"/>
          <w:szCs w:val="22"/>
        </w:rPr>
        <w:t xml:space="preserve">antigen expression in eTACs. </w:t>
      </w:r>
      <w:r w:rsidR="00617278" w:rsidRPr="00B51BD9">
        <w:rPr>
          <w:rFonts w:ascii="Arial" w:hAnsi="Arial" w:cs="Arial"/>
          <w:b/>
          <w:sz w:val="22"/>
          <w:szCs w:val="22"/>
        </w:rPr>
        <w:t xml:space="preserve">Hypothesis: </w:t>
      </w:r>
      <w:r w:rsidR="00851A15" w:rsidRPr="00B51BD9">
        <w:rPr>
          <w:rFonts w:ascii="Arial" w:hAnsi="Arial" w:cs="Arial"/>
          <w:sz w:val="22"/>
          <w:szCs w:val="22"/>
        </w:rPr>
        <w:t>Some</w:t>
      </w:r>
      <w:r w:rsidR="00EC7DC0" w:rsidRPr="00B51BD9">
        <w:rPr>
          <w:rFonts w:ascii="Arial" w:hAnsi="Arial" w:cs="Arial"/>
          <w:sz w:val="22"/>
          <w:szCs w:val="22"/>
        </w:rPr>
        <w:t xml:space="preserve"> </w:t>
      </w:r>
      <w:r w:rsidR="006819E6" w:rsidRPr="00B51BD9">
        <w:rPr>
          <w:rFonts w:ascii="Arial" w:hAnsi="Arial" w:cs="Arial"/>
          <w:sz w:val="22"/>
          <w:szCs w:val="22"/>
        </w:rPr>
        <w:t xml:space="preserve">important </w:t>
      </w:r>
      <w:r w:rsidR="00EC7DC0" w:rsidRPr="00B51BD9">
        <w:rPr>
          <w:rFonts w:ascii="Arial" w:hAnsi="Arial" w:cs="Arial"/>
          <w:sz w:val="22"/>
          <w:szCs w:val="22"/>
        </w:rPr>
        <w:t>thymic</w:t>
      </w:r>
      <w:r w:rsidR="00760BD7" w:rsidRPr="00B51BD9">
        <w:rPr>
          <w:rFonts w:ascii="Arial" w:hAnsi="Arial" w:cs="Arial"/>
          <w:sz w:val="22"/>
          <w:szCs w:val="22"/>
        </w:rPr>
        <w:t xml:space="preserve"> </w:t>
      </w:r>
      <w:r w:rsidR="00851A15" w:rsidRPr="00B51BD9">
        <w:rPr>
          <w:rFonts w:ascii="Arial" w:hAnsi="Arial" w:cs="Arial"/>
          <w:sz w:val="22"/>
          <w:szCs w:val="22"/>
        </w:rPr>
        <w:t>co</w:t>
      </w:r>
      <w:r w:rsidR="00531D5B">
        <w:rPr>
          <w:rFonts w:ascii="Arial" w:hAnsi="Arial" w:cs="Arial"/>
          <w:sz w:val="22"/>
          <w:szCs w:val="22"/>
        </w:rPr>
        <w:t>activators</w:t>
      </w:r>
      <w:r w:rsidR="00EC7DC0" w:rsidRPr="00B51BD9">
        <w:rPr>
          <w:rFonts w:ascii="Arial" w:hAnsi="Arial" w:cs="Arial"/>
          <w:sz w:val="22"/>
          <w:szCs w:val="22"/>
        </w:rPr>
        <w:t xml:space="preserve">, such as </w:t>
      </w:r>
      <w:r w:rsidR="001B047F" w:rsidRPr="00B51BD9">
        <w:rPr>
          <w:rFonts w:ascii="Arial" w:hAnsi="Arial" w:cs="Arial"/>
          <w:sz w:val="22"/>
          <w:szCs w:val="22"/>
        </w:rPr>
        <w:t xml:space="preserve">the transcriptional coactivator </w:t>
      </w:r>
      <w:r w:rsidR="00EC7DC0" w:rsidRPr="00B51BD9">
        <w:rPr>
          <w:rFonts w:ascii="Arial" w:hAnsi="Arial" w:cs="Arial"/>
          <w:sz w:val="22"/>
          <w:szCs w:val="22"/>
        </w:rPr>
        <w:t>CBP</w:t>
      </w:r>
      <w:r w:rsidR="00453DA8">
        <w:rPr>
          <w:rFonts w:ascii="Arial" w:hAnsi="Arial" w:cs="Arial"/>
          <w:sz w:val="22"/>
          <w:szCs w:val="22"/>
        </w:rPr>
        <w:t xml:space="preserve"> [</w:t>
      </w:r>
      <w:r w:rsidR="00296AF5" w:rsidRPr="00453DA8">
        <w:rPr>
          <w:rFonts w:ascii="Arial" w:hAnsi="Arial" w:cs="Arial"/>
          <w:sz w:val="22"/>
          <w:szCs w:val="22"/>
        </w:rPr>
        <w:t>9</w:t>
      </w:r>
      <w:r w:rsidR="00043C83" w:rsidRPr="00B51BD9">
        <w:rPr>
          <w:rFonts w:ascii="Arial" w:hAnsi="Arial" w:cs="Arial"/>
          <w:sz w:val="22"/>
          <w:szCs w:val="22"/>
        </w:rPr>
        <w:t>]</w:t>
      </w:r>
      <w:r w:rsidR="00760BD7" w:rsidRPr="00B51BD9">
        <w:rPr>
          <w:rFonts w:ascii="Arial" w:hAnsi="Arial" w:cs="Arial"/>
          <w:sz w:val="22"/>
          <w:szCs w:val="22"/>
        </w:rPr>
        <w:t xml:space="preserve">, will </w:t>
      </w:r>
      <w:r w:rsidR="0063159A" w:rsidRPr="00B51BD9">
        <w:rPr>
          <w:rFonts w:ascii="Arial" w:hAnsi="Arial" w:cs="Arial"/>
          <w:sz w:val="22"/>
          <w:szCs w:val="22"/>
        </w:rPr>
        <w:t>interact with AIRE in</w:t>
      </w:r>
      <w:r w:rsidR="00760BD7" w:rsidRPr="00B51BD9">
        <w:rPr>
          <w:rFonts w:ascii="Arial" w:hAnsi="Arial" w:cs="Arial"/>
          <w:sz w:val="22"/>
          <w:szCs w:val="22"/>
        </w:rPr>
        <w:t xml:space="preserve"> eTACs</w:t>
      </w:r>
      <w:r w:rsidR="00EB6F04" w:rsidRPr="00B51BD9">
        <w:rPr>
          <w:rFonts w:ascii="Arial" w:hAnsi="Arial" w:cs="Arial"/>
          <w:sz w:val="22"/>
          <w:szCs w:val="22"/>
        </w:rPr>
        <w:t>, but other co</w:t>
      </w:r>
      <w:r w:rsidR="004420FF">
        <w:rPr>
          <w:rFonts w:ascii="Arial" w:hAnsi="Arial" w:cs="Arial"/>
          <w:sz w:val="22"/>
          <w:szCs w:val="22"/>
        </w:rPr>
        <w:t>activators</w:t>
      </w:r>
      <w:r w:rsidR="00EB6F04" w:rsidRPr="00B51BD9">
        <w:rPr>
          <w:rFonts w:ascii="Arial" w:hAnsi="Arial" w:cs="Arial"/>
          <w:sz w:val="22"/>
          <w:szCs w:val="22"/>
        </w:rPr>
        <w:t xml:space="preserve"> will </w:t>
      </w:r>
      <w:r w:rsidR="00760BD7" w:rsidRPr="00B51BD9">
        <w:rPr>
          <w:rFonts w:ascii="Arial" w:hAnsi="Arial" w:cs="Arial"/>
          <w:sz w:val="22"/>
          <w:szCs w:val="22"/>
        </w:rPr>
        <w:t>differ</w:t>
      </w:r>
      <w:r w:rsidR="004D3E8E" w:rsidRPr="00B51BD9">
        <w:rPr>
          <w:rFonts w:ascii="Arial" w:hAnsi="Arial" w:cs="Arial"/>
          <w:sz w:val="22"/>
          <w:szCs w:val="22"/>
        </w:rPr>
        <w:t>.</w:t>
      </w:r>
    </w:p>
    <w:p w14:paraId="4E1D35AE" w14:textId="77777777" w:rsidR="00BA3C16" w:rsidRPr="00B51BD9" w:rsidRDefault="00BA3C16" w:rsidP="001408AA">
      <w:pPr>
        <w:rPr>
          <w:rFonts w:ascii="Arial" w:hAnsi="Arial" w:cs="Arial"/>
          <w:sz w:val="22"/>
          <w:szCs w:val="22"/>
        </w:rPr>
      </w:pPr>
    </w:p>
    <w:p w14:paraId="39FF4165" w14:textId="783EB380" w:rsidR="003671BA" w:rsidRDefault="001F0022" w:rsidP="004A6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how AIRE promotes</w:t>
      </w:r>
      <w:r w:rsidR="00E86CDF">
        <w:rPr>
          <w:rFonts w:ascii="Arial" w:hAnsi="Arial" w:cs="Arial"/>
          <w:sz w:val="22"/>
          <w:szCs w:val="22"/>
        </w:rPr>
        <w:t xml:space="preserve"> unique</w:t>
      </w:r>
      <w:r>
        <w:rPr>
          <w:rFonts w:ascii="Arial" w:hAnsi="Arial" w:cs="Arial"/>
          <w:sz w:val="22"/>
          <w:szCs w:val="22"/>
        </w:rPr>
        <w:t xml:space="preserve"> self-antigen expression in eTACs will shed light on AIRE’s role in maintaining peripheral tolerance. </w:t>
      </w:r>
      <w:r w:rsidR="00E86CDF">
        <w:rPr>
          <w:rFonts w:ascii="Arial" w:hAnsi="Arial" w:cs="Arial"/>
          <w:sz w:val="22"/>
          <w:szCs w:val="22"/>
        </w:rPr>
        <w:t xml:space="preserve">Further research </w:t>
      </w:r>
      <w:r w:rsidR="00343D4B">
        <w:rPr>
          <w:rFonts w:ascii="Arial" w:hAnsi="Arial" w:cs="Arial"/>
          <w:sz w:val="22"/>
          <w:szCs w:val="22"/>
        </w:rPr>
        <w:t xml:space="preserve">to </w:t>
      </w:r>
      <w:r w:rsidR="00E86CDF">
        <w:rPr>
          <w:rFonts w:ascii="Arial" w:hAnsi="Arial" w:cs="Arial"/>
          <w:sz w:val="22"/>
          <w:szCs w:val="22"/>
        </w:rPr>
        <w:t>understand</w:t>
      </w:r>
      <w:r w:rsidR="003671BA">
        <w:rPr>
          <w:rFonts w:ascii="Arial" w:hAnsi="Arial" w:cs="Arial"/>
          <w:sz w:val="22"/>
          <w:szCs w:val="22"/>
        </w:rPr>
        <w:t xml:space="preserve"> </w:t>
      </w:r>
      <w:r w:rsidR="00B63549">
        <w:rPr>
          <w:rFonts w:ascii="Arial" w:hAnsi="Arial" w:cs="Arial"/>
          <w:sz w:val="22"/>
          <w:szCs w:val="22"/>
        </w:rPr>
        <w:t xml:space="preserve">AIRE </w:t>
      </w:r>
      <w:r w:rsidR="003671BA">
        <w:rPr>
          <w:rFonts w:ascii="Arial" w:hAnsi="Arial" w:cs="Arial"/>
          <w:sz w:val="22"/>
          <w:szCs w:val="22"/>
        </w:rPr>
        <w:t>co</w:t>
      </w:r>
      <w:r w:rsidR="004420FF">
        <w:rPr>
          <w:rFonts w:ascii="Arial" w:hAnsi="Arial" w:cs="Arial"/>
          <w:sz w:val="22"/>
          <w:szCs w:val="22"/>
        </w:rPr>
        <w:t>a</w:t>
      </w:r>
      <w:r w:rsidR="0012739F">
        <w:rPr>
          <w:rFonts w:ascii="Arial" w:hAnsi="Arial" w:cs="Arial"/>
          <w:sz w:val="22"/>
          <w:szCs w:val="22"/>
        </w:rPr>
        <w:t>ctivators</w:t>
      </w:r>
      <w:r w:rsidR="003671BA">
        <w:rPr>
          <w:rFonts w:ascii="Arial" w:hAnsi="Arial" w:cs="Arial"/>
          <w:sz w:val="22"/>
          <w:szCs w:val="22"/>
        </w:rPr>
        <w:t xml:space="preserve"> </w:t>
      </w:r>
      <w:r w:rsidR="006E1260">
        <w:rPr>
          <w:rFonts w:ascii="Arial" w:hAnsi="Arial" w:cs="Arial"/>
          <w:sz w:val="22"/>
          <w:szCs w:val="22"/>
        </w:rPr>
        <w:t>in</w:t>
      </w:r>
      <w:r w:rsidR="00DB187D">
        <w:rPr>
          <w:rFonts w:ascii="Arial" w:hAnsi="Arial" w:cs="Arial"/>
          <w:sz w:val="22"/>
          <w:szCs w:val="22"/>
        </w:rPr>
        <w:t xml:space="preserve"> eTACs versus</w:t>
      </w:r>
      <w:r w:rsidR="003671BA">
        <w:rPr>
          <w:rFonts w:ascii="Arial" w:hAnsi="Arial" w:cs="Arial"/>
          <w:sz w:val="22"/>
          <w:szCs w:val="22"/>
        </w:rPr>
        <w:t xml:space="preserve"> the thymus can uncover the biological significance of the</w:t>
      </w:r>
      <w:r w:rsidR="00944EE2">
        <w:rPr>
          <w:rFonts w:ascii="Arial" w:hAnsi="Arial" w:cs="Arial"/>
          <w:sz w:val="22"/>
          <w:szCs w:val="22"/>
        </w:rPr>
        <w:t>se</w:t>
      </w:r>
      <w:r w:rsidR="003671BA">
        <w:rPr>
          <w:rFonts w:ascii="Arial" w:hAnsi="Arial" w:cs="Arial"/>
          <w:sz w:val="22"/>
          <w:szCs w:val="22"/>
        </w:rPr>
        <w:t xml:space="preserve"> unique self-antigens in eTACs. </w:t>
      </w:r>
      <w:r w:rsidR="003671BA">
        <w:rPr>
          <w:rFonts w:ascii="Arial" w:hAnsi="Arial" w:cs="Arial"/>
          <w:sz w:val="22"/>
          <w:szCs w:val="22"/>
        </w:rPr>
        <w:t xml:space="preserve">Eventually, </w:t>
      </w:r>
      <w:r w:rsidR="00DB187D">
        <w:rPr>
          <w:rFonts w:ascii="Arial" w:hAnsi="Arial" w:cs="Arial"/>
          <w:sz w:val="22"/>
          <w:szCs w:val="22"/>
        </w:rPr>
        <w:t xml:space="preserve">this </w:t>
      </w:r>
      <w:r w:rsidR="003671BA">
        <w:rPr>
          <w:rFonts w:ascii="Arial" w:hAnsi="Arial" w:cs="Arial"/>
          <w:sz w:val="22"/>
          <w:szCs w:val="22"/>
        </w:rPr>
        <w:t>knowledge gained about peripheral immune tolerance can be applied to treating APECED and other autoimmune diseases</w:t>
      </w:r>
      <w:r w:rsidR="003671BA">
        <w:rPr>
          <w:rFonts w:ascii="Arial" w:hAnsi="Arial" w:cs="Arial"/>
          <w:sz w:val="22"/>
          <w:szCs w:val="22"/>
        </w:rPr>
        <w:t>.</w:t>
      </w:r>
    </w:p>
    <w:p w14:paraId="618C6585" w14:textId="1ED75953" w:rsidR="004A6EF8" w:rsidRPr="00263AA3" w:rsidRDefault="004A6EF8" w:rsidP="004A6EF8">
      <w:pPr>
        <w:rPr>
          <w:rFonts w:ascii="Arial" w:hAnsi="Arial" w:cs="Arial"/>
          <w:sz w:val="20"/>
        </w:rPr>
      </w:pPr>
      <w:r w:rsidRPr="00263AA3">
        <w:rPr>
          <w:rFonts w:ascii="Arial" w:hAnsi="Arial" w:cs="Arial"/>
          <w:sz w:val="20"/>
        </w:rPr>
        <w:lastRenderedPageBreak/>
        <w:t>[1] Kisand, Kai and Peterson, Pärt. 2015. Autoimmune Polyendocrinopathy Candidiasis Ectodermal Dystrophy. Journal of Clinical Immunology. pp 463-478.</w:t>
      </w:r>
    </w:p>
    <w:p w14:paraId="621F8EE2" w14:textId="77777777" w:rsidR="004A6EF8" w:rsidRPr="00263AA3" w:rsidRDefault="004A6EF8" w:rsidP="004A6EF8">
      <w:pPr>
        <w:rPr>
          <w:rFonts w:ascii="Arial" w:hAnsi="Arial" w:cs="Arial"/>
          <w:sz w:val="20"/>
        </w:rPr>
      </w:pPr>
      <w:r w:rsidRPr="00263AA3">
        <w:rPr>
          <w:rFonts w:ascii="Arial" w:hAnsi="Arial" w:cs="Arial"/>
          <w:sz w:val="20"/>
        </w:rPr>
        <w:t>[2] Finnish-German APECED Consortium. 1997. An autoimmune disease, APECED, caused by mutations in a novel gene featuring two PHD-type zinc-finger domains. Nature. https://www.ncbi.nlm.nih.gov/pubmed/9398840/​</w:t>
      </w:r>
    </w:p>
    <w:p w14:paraId="6FB95FB2" w14:textId="77777777" w:rsidR="004A6EF8" w:rsidRPr="00263AA3" w:rsidRDefault="004A6EF8" w:rsidP="004A6EF8">
      <w:pPr>
        <w:rPr>
          <w:rFonts w:ascii="Arial" w:hAnsi="Arial" w:cs="Arial"/>
          <w:sz w:val="20"/>
        </w:rPr>
      </w:pPr>
      <w:r w:rsidRPr="00263AA3">
        <w:rPr>
          <w:rFonts w:ascii="Arial" w:hAnsi="Arial" w:cs="Arial"/>
          <w:sz w:val="20"/>
        </w:rPr>
        <w:t>[3] Owen et al. 2013. Kuby Immunology. 7</w:t>
      </w:r>
      <w:r w:rsidRPr="00263AA3">
        <w:rPr>
          <w:rFonts w:ascii="Arial" w:hAnsi="Arial" w:cs="Arial"/>
          <w:sz w:val="20"/>
          <w:vertAlign w:val="superscript"/>
        </w:rPr>
        <w:t>th</w:t>
      </w:r>
      <w:r w:rsidRPr="00263AA3">
        <w:rPr>
          <w:rFonts w:ascii="Arial" w:hAnsi="Arial" w:cs="Arial"/>
          <w:sz w:val="20"/>
        </w:rPr>
        <w:t xml:space="preserve"> edition.</w:t>
      </w:r>
    </w:p>
    <w:p w14:paraId="2FA11518" w14:textId="5ADA6AF6" w:rsidR="00296AF5" w:rsidRPr="00263AA3" w:rsidRDefault="004A6EF8" w:rsidP="00296AF5">
      <w:pPr>
        <w:rPr>
          <w:rFonts w:ascii="Arial" w:hAnsi="Arial" w:cs="Arial"/>
          <w:sz w:val="20"/>
        </w:rPr>
      </w:pPr>
      <w:r w:rsidRPr="00263AA3">
        <w:rPr>
          <w:rFonts w:ascii="Arial" w:hAnsi="Arial" w:cs="Arial"/>
          <w:sz w:val="20"/>
        </w:rPr>
        <w:t>[4] Gardner et al. 2008. Deletional Tolerance Mediated by Extrathymic Aire-Expressing Cells. Science. Vol 231. pp. 843-847.</w:t>
      </w:r>
    </w:p>
    <w:p w14:paraId="51B2FE81" w14:textId="77777777" w:rsidR="00296AF5" w:rsidRPr="00263AA3" w:rsidRDefault="00296AF5" w:rsidP="00296AF5">
      <w:pPr>
        <w:rPr>
          <w:rFonts w:ascii="Arial" w:hAnsi="Arial" w:cs="Arial"/>
          <w:sz w:val="20"/>
        </w:rPr>
      </w:pPr>
      <w:r w:rsidRPr="00263AA3">
        <w:rPr>
          <w:rFonts w:ascii="Arial" w:hAnsi="Arial" w:cs="Arial"/>
          <w:sz w:val="20"/>
        </w:rPr>
        <w:t xml:space="preserve">[5] George S. Eisenbarth (editor). 2010. Immunoendocrinology: Scientific and Clinical Aspects. The Mouse Model of Autoimmune Polyglandular Syndrome Type 1. P. 95-100. </w:t>
      </w:r>
      <w:hyperlink r:id="rId6" w:history="1">
        <w:r w:rsidRPr="00263AA3">
          <w:rPr>
            <w:rStyle w:val="Hyperlink"/>
            <w:rFonts w:ascii="Arial" w:hAnsi="Arial" w:cs="Arial"/>
            <w:sz w:val="20"/>
          </w:rPr>
          <w:t>https://books.google.com/books?id=JYbDzAjBnHoC&amp;pg=PA97&amp;lpg=PA97&amp;dq=aire+Specific+endocrine+organs+including+the+ovaries+and+liver+showed+distinct+lymphocytic+infiltrates,+and+consistent+with+human+APS-1,+adrenal+glands+were+absent+in+a+significant+portion+of+the+Aire-knockout+mice+suggesting+their+complete+destruction.&amp;source=bl&amp;ots=6dmt0tjX4y&amp;sig=MjjJICH8XZ7oYeXnncM_GZr2kEY&amp;hl=en&amp;sa=X&amp;ved=0ahUKEwjfmOPT86bTAhUp3IMKHYucDDkQ6AEIKDAA#v=onepage&amp;q=aire%20Specific%20endocrine%20organs%20including%20the%20ovaries%20and%20liver%20showed%20distinct%20lymphocytic%20infiltrates%2C%20and%20consistent%20with%20human%20APS-1%2C%20adrenal%20glands%20were%20absent%20in%20a%20significant%20portion%20of%20the%20Aire-knockout%20mice%20suggesting%20their%20complete%20destruction.&amp;f=false</w:t>
        </w:r>
      </w:hyperlink>
    </w:p>
    <w:p w14:paraId="2474A3AF" w14:textId="634D57E8" w:rsidR="00296AF5" w:rsidRPr="00263AA3" w:rsidRDefault="00296AF5" w:rsidP="00296AF5">
      <w:pPr>
        <w:rPr>
          <w:rFonts w:ascii="Arial" w:hAnsi="Arial" w:cs="Arial"/>
          <w:sz w:val="20"/>
        </w:rPr>
      </w:pPr>
      <w:r w:rsidRPr="00263AA3">
        <w:rPr>
          <w:rFonts w:ascii="Arial" w:hAnsi="Arial" w:cs="Arial"/>
          <w:sz w:val="20"/>
        </w:rPr>
        <w:t>[6</w:t>
      </w:r>
      <w:r w:rsidRPr="00263AA3">
        <w:rPr>
          <w:rFonts w:ascii="Arial" w:hAnsi="Arial" w:cs="Arial"/>
          <w:sz w:val="20"/>
        </w:rPr>
        <w:t xml:space="preserve">] Eldershaw et al. 2011.Expression and function of the autoimmune regulator (Aire) gene in non-thymic tissue. </w:t>
      </w:r>
      <w:hyperlink r:id="rId7" w:history="1">
        <w:r w:rsidRPr="00263AA3">
          <w:rPr>
            <w:rStyle w:val="Hyperlink"/>
            <w:rFonts w:ascii="Arial" w:hAnsi="Arial" w:cs="Arial"/>
            <w:sz w:val="20"/>
          </w:rPr>
          <w:t>https://www.ncbi.nlm.nih.gov/pmc/articles/PMC3048612/figure/fig02/</w:t>
        </w:r>
      </w:hyperlink>
    </w:p>
    <w:p w14:paraId="6CC8770F" w14:textId="0BD0D1DF" w:rsidR="004A6EF8" w:rsidRPr="00263AA3" w:rsidRDefault="004A6EF8">
      <w:pPr>
        <w:rPr>
          <w:rFonts w:ascii="Arial" w:hAnsi="Arial" w:cs="Arial"/>
          <w:sz w:val="20"/>
        </w:rPr>
      </w:pPr>
      <w:r w:rsidRPr="00263AA3">
        <w:rPr>
          <w:rFonts w:ascii="Arial" w:hAnsi="Arial" w:cs="Arial"/>
          <w:sz w:val="20"/>
        </w:rPr>
        <w:t>[</w:t>
      </w:r>
      <w:r w:rsidR="00296AF5" w:rsidRPr="00263AA3">
        <w:rPr>
          <w:rFonts w:ascii="Arial" w:hAnsi="Arial" w:cs="Arial"/>
          <w:sz w:val="20"/>
        </w:rPr>
        <w:t>7</w:t>
      </w:r>
      <w:r w:rsidRPr="00263AA3">
        <w:rPr>
          <w:rFonts w:ascii="Arial" w:hAnsi="Arial" w:cs="Arial"/>
          <w:sz w:val="20"/>
        </w:rPr>
        <w:t>] Pitkanen et al. 2001. Subcellular Localization of the Autoimmune Regulator Protein. Journal of Biological Chemistry. Vol. 276, No. 22, pp. 19597–19602.</w:t>
      </w:r>
    </w:p>
    <w:p w14:paraId="704C45B0" w14:textId="322E3C40" w:rsidR="004A6EF8" w:rsidRPr="00263AA3" w:rsidRDefault="00296AF5">
      <w:pPr>
        <w:rPr>
          <w:rFonts w:ascii="Arial" w:hAnsi="Arial" w:cs="Arial"/>
          <w:sz w:val="20"/>
        </w:rPr>
      </w:pPr>
      <w:r w:rsidRPr="00263AA3">
        <w:rPr>
          <w:rFonts w:ascii="Arial" w:hAnsi="Arial" w:cs="Arial"/>
          <w:sz w:val="20"/>
        </w:rPr>
        <w:t>[8</w:t>
      </w:r>
      <w:r w:rsidR="004A6EF8" w:rsidRPr="00263AA3">
        <w:rPr>
          <w:rFonts w:ascii="Arial" w:hAnsi="Arial" w:cs="Arial"/>
          <w:sz w:val="20"/>
        </w:rPr>
        <w:t xml:space="preserve">] The Jackson Laboratory. Life Span as a Biomarker. </w:t>
      </w:r>
      <w:hyperlink r:id="rId8" w:history="1">
        <w:r w:rsidR="00272E13" w:rsidRPr="00263AA3">
          <w:rPr>
            <w:rStyle w:val="Hyperlink"/>
            <w:rFonts w:ascii="Arial" w:hAnsi="Arial" w:cs="Arial"/>
            <w:sz w:val="20"/>
          </w:rPr>
          <w:t>https://www.jax.org/research-and-faculty/research-labs/the-harrison-lab/gerontology/life-span-as-a-biomarker</w:t>
        </w:r>
      </w:hyperlink>
    </w:p>
    <w:p w14:paraId="4DABA5B9" w14:textId="103AF3B3" w:rsidR="00272E13" w:rsidRPr="00263AA3" w:rsidRDefault="00296AF5">
      <w:pPr>
        <w:rPr>
          <w:rFonts w:ascii="Arial" w:hAnsi="Arial" w:cs="Arial"/>
          <w:sz w:val="20"/>
        </w:rPr>
      </w:pPr>
      <w:r w:rsidRPr="00263AA3">
        <w:rPr>
          <w:rFonts w:ascii="Arial" w:hAnsi="Arial" w:cs="Arial"/>
          <w:sz w:val="20"/>
        </w:rPr>
        <w:t>[9</w:t>
      </w:r>
      <w:r w:rsidR="00272E13" w:rsidRPr="00263AA3">
        <w:rPr>
          <w:rFonts w:ascii="Arial" w:hAnsi="Arial" w:cs="Arial"/>
          <w:sz w:val="20"/>
        </w:rPr>
        <w:t xml:space="preserve">] Fierabracci, Alessandra. 2011. Recent insights into the role and molecular mechanisms of the autoimmune regulator (AIRE) gene in autoimmunity. Autoimmunity Reviews. </w:t>
      </w:r>
      <w:r w:rsidR="006341B8" w:rsidRPr="00263AA3">
        <w:rPr>
          <w:rFonts w:ascii="Arial" w:hAnsi="Arial" w:cs="Arial"/>
          <w:sz w:val="20"/>
        </w:rPr>
        <w:t xml:space="preserve">Vol. 10, p </w:t>
      </w:r>
      <w:r w:rsidR="00272E13" w:rsidRPr="00263AA3">
        <w:rPr>
          <w:rFonts w:ascii="Arial" w:hAnsi="Arial" w:cs="Arial"/>
          <w:sz w:val="20"/>
        </w:rPr>
        <w:t xml:space="preserve">137-143. </w:t>
      </w:r>
    </w:p>
    <w:p w14:paraId="0B7B1E41" w14:textId="77777777" w:rsidR="00900284" w:rsidRPr="00263AA3" w:rsidRDefault="00900284">
      <w:pPr>
        <w:rPr>
          <w:rFonts w:ascii="Arial" w:hAnsi="Arial" w:cs="Arial"/>
          <w:sz w:val="20"/>
        </w:rPr>
      </w:pPr>
    </w:p>
    <w:p w14:paraId="1A6FBAF9" w14:textId="25CCB981" w:rsidR="00F60E17" w:rsidRPr="00263AA3" w:rsidRDefault="00F60E17" w:rsidP="00900284">
      <w:pPr>
        <w:rPr>
          <w:rFonts w:ascii="Arial" w:hAnsi="Arial" w:cs="Arial"/>
          <w:sz w:val="20"/>
        </w:rPr>
      </w:pPr>
    </w:p>
    <w:sectPr w:rsidR="00F60E17" w:rsidRPr="00263AA3" w:rsidSect="007F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4A35"/>
    <w:multiLevelType w:val="hybridMultilevel"/>
    <w:tmpl w:val="3842A956"/>
    <w:lvl w:ilvl="0" w:tplc="59266506">
      <w:start w:val="1"/>
      <w:numFmt w:val="bullet"/>
      <w:lvlText w:val="-"/>
      <w:lvlJc w:val="left"/>
      <w:pPr>
        <w:ind w:left="720" w:hanging="360"/>
      </w:pPr>
      <w:rPr>
        <w:rFonts w:ascii="Helvetica" w:eastAsia="Time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529B4"/>
    <w:multiLevelType w:val="hybridMultilevel"/>
    <w:tmpl w:val="6F0C9180"/>
    <w:lvl w:ilvl="0" w:tplc="BCD6EF5E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AA"/>
    <w:rsid w:val="00012C80"/>
    <w:rsid w:val="000173F0"/>
    <w:rsid w:val="000206D5"/>
    <w:rsid w:val="00035CCA"/>
    <w:rsid w:val="0004248F"/>
    <w:rsid w:val="00043C83"/>
    <w:rsid w:val="00051886"/>
    <w:rsid w:val="000833E6"/>
    <w:rsid w:val="000856CE"/>
    <w:rsid w:val="000932AB"/>
    <w:rsid w:val="00094C67"/>
    <w:rsid w:val="00095D11"/>
    <w:rsid w:val="000A0E1D"/>
    <w:rsid w:val="000B29F1"/>
    <w:rsid w:val="000B3802"/>
    <w:rsid w:val="000C569F"/>
    <w:rsid w:val="000E40A4"/>
    <w:rsid w:val="000F2473"/>
    <w:rsid w:val="000F26B1"/>
    <w:rsid w:val="0011461A"/>
    <w:rsid w:val="00121114"/>
    <w:rsid w:val="00122B35"/>
    <w:rsid w:val="00124F16"/>
    <w:rsid w:val="001269A4"/>
    <w:rsid w:val="0012739F"/>
    <w:rsid w:val="001329ED"/>
    <w:rsid w:val="001408AA"/>
    <w:rsid w:val="00143D3A"/>
    <w:rsid w:val="00152522"/>
    <w:rsid w:val="001535EA"/>
    <w:rsid w:val="00154513"/>
    <w:rsid w:val="00156151"/>
    <w:rsid w:val="00181F17"/>
    <w:rsid w:val="001921C7"/>
    <w:rsid w:val="001B047F"/>
    <w:rsid w:val="001B4FD9"/>
    <w:rsid w:val="001C77E7"/>
    <w:rsid w:val="001D556E"/>
    <w:rsid w:val="001F0022"/>
    <w:rsid w:val="001F282D"/>
    <w:rsid w:val="001F52E5"/>
    <w:rsid w:val="001F5A61"/>
    <w:rsid w:val="001F64B5"/>
    <w:rsid w:val="00217D23"/>
    <w:rsid w:val="00253972"/>
    <w:rsid w:val="002569B6"/>
    <w:rsid w:val="00256ACC"/>
    <w:rsid w:val="00263AA3"/>
    <w:rsid w:val="0026402A"/>
    <w:rsid w:val="00272E13"/>
    <w:rsid w:val="00296AF5"/>
    <w:rsid w:val="002A633A"/>
    <w:rsid w:val="002B3B35"/>
    <w:rsid w:val="002C224B"/>
    <w:rsid w:val="002D5F54"/>
    <w:rsid w:val="002E395A"/>
    <w:rsid w:val="002E39A3"/>
    <w:rsid w:val="002E4FEC"/>
    <w:rsid w:val="002E63A6"/>
    <w:rsid w:val="002F507B"/>
    <w:rsid w:val="002F513C"/>
    <w:rsid w:val="003260B4"/>
    <w:rsid w:val="00326E1F"/>
    <w:rsid w:val="003312ED"/>
    <w:rsid w:val="00334354"/>
    <w:rsid w:val="00341D27"/>
    <w:rsid w:val="00343D4B"/>
    <w:rsid w:val="003472E3"/>
    <w:rsid w:val="00352672"/>
    <w:rsid w:val="003656A7"/>
    <w:rsid w:val="003671BA"/>
    <w:rsid w:val="00371027"/>
    <w:rsid w:val="00371238"/>
    <w:rsid w:val="003752B2"/>
    <w:rsid w:val="003864E2"/>
    <w:rsid w:val="00395BA7"/>
    <w:rsid w:val="0039701C"/>
    <w:rsid w:val="00397FDE"/>
    <w:rsid w:val="003A293F"/>
    <w:rsid w:val="003A64E9"/>
    <w:rsid w:val="003C38C1"/>
    <w:rsid w:val="003C758F"/>
    <w:rsid w:val="003D0603"/>
    <w:rsid w:val="003D530F"/>
    <w:rsid w:val="003F5915"/>
    <w:rsid w:val="003F7842"/>
    <w:rsid w:val="00413BE5"/>
    <w:rsid w:val="00417268"/>
    <w:rsid w:val="00421711"/>
    <w:rsid w:val="004413F1"/>
    <w:rsid w:val="004420FF"/>
    <w:rsid w:val="004422BC"/>
    <w:rsid w:val="00442CCD"/>
    <w:rsid w:val="00444AD9"/>
    <w:rsid w:val="004450DA"/>
    <w:rsid w:val="0044549A"/>
    <w:rsid w:val="00445DAC"/>
    <w:rsid w:val="0045054A"/>
    <w:rsid w:val="004507FB"/>
    <w:rsid w:val="00453DA8"/>
    <w:rsid w:val="004606DE"/>
    <w:rsid w:val="004656AA"/>
    <w:rsid w:val="00466AF2"/>
    <w:rsid w:val="00474AA4"/>
    <w:rsid w:val="00475748"/>
    <w:rsid w:val="004767C7"/>
    <w:rsid w:val="00497F92"/>
    <w:rsid w:val="004A6EF8"/>
    <w:rsid w:val="004B0F7F"/>
    <w:rsid w:val="004B27A2"/>
    <w:rsid w:val="004B5ABF"/>
    <w:rsid w:val="004C0275"/>
    <w:rsid w:val="004D0977"/>
    <w:rsid w:val="004D3E8E"/>
    <w:rsid w:val="004E31DA"/>
    <w:rsid w:val="004E4672"/>
    <w:rsid w:val="004E6387"/>
    <w:rsid w:val="004E6A0F"/>
    <w:rsid w:val="00500192"/>
    <w:rsid w:val="00501DC7"/>
    <w:rsid w:val="005120C8"/>
    <w:rsid w:val="005164E0"/>
    <w:rsid w:val="0052119E"/>
    <w:rsid w:val="00522516"/>
    <w:rsid w:val="005228E0"/>
    <w:rsid w:val="00527278"/>
    <w:rsid w:val="00531D5B"/>
    <w:rsid w:val="005333B5"/>
    <w:rsid w:val="00540E46"/>
    <w:rsid w:val="00543C4A"/>
    <w:rsid w:val="00553260"/>
    <w:rsid w:val="005546B0"/>
    <w:rsid w:val="00562149"/>
    <w:rsid w:val="0056569D"/>
    <w:rsid w:val="00582C23"/>
    <w:rsid w:val="00591E4A"/>
    <w:rsid w:val="0059339D"/>
    <w:rsid w:val="00595448"/>
    <w:rsid w:val="005A0BBC"/>
    <w:rsid w:val="005A1B46"/>
    <w:rsid w:val="005C65A4"/>
    <w:rsid w:val="005D51A4"/>
    <w:rsid w:val="005D6C99"/>
    <w:rsid w:val="005E45A9"/>
    <w:rsid w:val="005E6393"/>
    <w:rsid w:val="006078F1"/>
    <w:rsid w:val="00617278"/>
    <w:rsid w:val="00617BA1"/>
    <w:rsid w:val="00626A2B"/>
    <w:rsid w:val="0063159A"/>
    <w:rsid w:val="00633E5A"/>
    <w:rsid w:val="006341B8"/>
    <w:rsid w:val="006343B6"/>
    <w:rsid w:val="0063516F"/>
    <w:rsid w:val="00653E51"/>
    <w:rsid w:val="006819E6"/>
    <w:rsid w:val="00682719"/>
    <w:rsid w:val="006A6616"/>
    <w:rsid w:val="006E061A"/>
    <w:rsid w:val="006E1260"/>
    <w:rsid w:val="006F50EC"/>
    <w:rsid w:val="00700AEA"/>
    <w:rsid w:val="007118E7"/>
    <w:rsid w:val="00727108"/>
    <w:rsid w:val="00737A05"/>
    <w:rsid w:val="00750866"/>
    <w:rsid w:val="0075451C"/>
    <w:rsid w:val="00760BD7"/>
    <w:rsid w:val="00762E3E"/>
    <w:rsid w:val="007725CF"/>
    <w:rsid w:val="0078226E"/>
    <w:rsid w:val="00790B25"/>
    <w:rsid w:val="00793A2E"/>
    <w:rsid w:val="00797DC5"/>
    <w:rsid w:val="007A19C2"/>
    <w:rsid w:val="007B0DF6"/>
    <w:rsid w:val="007C1B8A"/>
    <w:rsid w:val="007D47F7"/>
    <w:rsid w:val="007E58EF"/>
    <w:rsid w:val="007F3B0E"/>
    <w:rsid w:val="007F6C7E"/>
    <w:rsid w:val="00816EC9"/>
    <w:rsid w:val="0083091F"/>
    <w:rsid w:val="00833F5A"/>
    <w:rsid w:val="00834641"/>
    <w:rsid w:val="00840921"/>
    <w:rsid w:val="0084162D"/>
    <w:rsid w:val="00841C8E"/>
    <w:rsid w:val="008445CB"/>
    <w:rsid w:val="00851A15"/>
    <w:rsid w:val="008554BE"/>
    <w:rsid w:val="0088208B"/>
    <w:rsid w:val="0088392F"/>
    <w:rsid w:val="0089001D"/>
    <w:rsid w:val="00895915"/>
    <w:rsid w:val="008D176A"/>
    <w:rsid w:val="008D6766"/>
    <w:rsid w:val="008D6EAA"/>
    <w:rsid w:val="008E540C"/>
    <w:rsid w:val="008F7080"/>
    <w:rsid w:val="00900284"/>
    <w:rsid w:val="00906A28"/>
    <w:rsid w:val="00932A87"/>
    <w:rsid w:val="00935E43"/>
    <w:rsid w:val="00936175"/>
    <w:rsid w:val="00944EE2"/>
    <w:rsid w:val="009861C5"/>
    <w:rsid w:val="00986AC5"/>
    <w:rsid w:val="0099002A"/>
    <w:rsid w:val="009A5C35"/>
    <w:rsid w:val="009A69FB"/>
    <w:rsid w:val="009B7C70"/>
    <w:rsid w:val="009C5E96"/>
    <w:rsid w:val="009C6613"/>
    <w:rsid w:val="009D4323"/>
    <w:rsid w:val="009E4686"/>
    <w:rsid w:val="009E5E8C"/>
    <w:rsid w:val="009E7334"/>
    <w:rsid w:val="009F5C2C"/>
    <w:rsid w:val="00A33303"/>
    <w:rsid w:val="00A6540D"/>
    <w:rsid w:val="00A801E9"/>
    <w:rsid w:val="00A91895"/>
    <w:rsid w:val="00A92AFB"/>
    <w:rsid w:val="00A95D01"/>
    <w:rsid w:val="00AA155B"/>
    <w:rsid w:val="00AA69F4"/>
    <w:rsid w:val="00AB08EA"/>
    <w:rsid w:val="00AC2199"/>
    <w:rsid w:val="00AE3617"/>
    <w:rsid w:val="00AF4B16"/>
    <w:rsid w:val="00B13898"/>
    <w:rsid w:val="00B14EE1"/>
    <w:rsid w:val="00B1616B"/>
    <w:rsid w:val="00B35039"/>
    <w:rsid w:val="00B42365"/>
    <w:rsid w:val="00B51BD9"/>
    <w:rsid w:val="00B555E6"/>
    <w:rsid w:val="00B5796F"/>
    <w:rsid w:val="00B627C5"/>
    <w:rsid w:val="00B63549"/>
    <w:rsid w:val="00B65505"/>
    <w:rsid w:val="00B65CD0"/>
    <w:rsid w:val="00B66ED1"/>
    <w:rsid w:val="00B67461"/>
    <w:rsid w:val="00B727A4"/>
    <w:rsid w:val="00B77FB1"/>
    <w:rsid w:val="00B81FAA"/>
    <w:rsid w:val="00B90565"/>
    <w:rsid w:val="00B93517"/>
    <w:rsid w:val="00B94FE3"/>
    <w:rsid w:val="00B94FF0"/>
    <w:rsid w:val="00BA3C16"/>
    <w:rsid w:val="00BB32EA"/>
    <w:rsid w:val="00BB4720"/>
    <w:rsid w:val="00BC4B96"/>
    <w:rsid w:val="00BC6398"/>
    <w:rsid w:val="00BD08DE"/>
    <w:rsid w:val="00BE2D40"/>
    <w:rsid w:val="00BF6DC2"/>
    <w:rsid w:val="00BF7DAB"/>
    <w:rsid w:val="00C01535"/>
    <w:rsid w:val="00C04C61"/>
    <w:rsid w:val="00C15BC5"/>
    <w:rsid w:val="00C15CCC"/>
    <w:rsid w:val="00C2245F"/>
    <w:rsid w:val="00C360DC"/>
    <w:rsid w:val="00C40A2B"/>
    <w:rsid w:val="00C633CB"/>
    <w:rsid w:val="00C6518C"/>
    <w:rsid w:val="00C70B16"/>
    <w:rsid w:val="00C87FC2"/>
    <w:rsid w:val="00CA2481"/>
    <w:rsid w:val="00CB215C"/>
    <w:rsid w:val="00CB7162"/>
    <w:rsid w:val="00CC5397"/>
    <w:rsid w:val="00CD1A05"/>
    <w:rsid w:val="00D012DB"/>
    <w:rsid w:val="00D04A23"/>
    <w:rsid w:val="00D073EE"/>
    <w:rsid w:val="00D11427"/>
    <w:rsid w:val="00D1466E"/>
    <w:rsid w:val="00D174F5"/>
    <w:rsid w:val="00D23E3F"/>
    <w:rsid w:val="00D40409"/>
    <w:rsid w:val="00D742EB"/>
    <w:rsid w:val="00DB0F08"/>
    <w:rsid w:val="00DB187D"/>
    <w:rsid w:val="00DB2404"/>
    <w:rsid w:val="00DB4172"/>
    <w:rsid w:val="00DB6800"/>
    <w:rsid w:val="00DB6B50"/>
    <w:rsid w:val="00E07EB1"/>
    <w:rsid w:val="00E25C2C"/>
    <w:rsid w:val="00E42606"/>
    <w:rsid w:val="00E42981"/>
    <w:rsid w:val="00E5779A"/>
    <w:rsid w:val="00E73744"/>
    <w:rsid w:val="00E86CDF"/>
    <w:rsid w:val="00EB1ABF"/>
    <w:rsid w:val="00EB6F04"/>
    <w:rsid w:val="00EC358D"/>
    <w:rsid w:val="00EC7DC0"/>
    <w:rsid w:val="00ED393A"/>
    <w:rsid w:val="00ED7B29"/>
    <w:rsid w:val="00EE332D"/>
    <w:rsid w:val="00EF1992"/>
    <w:rsid w:val="00F06142"/>
    <w:rsid w:val="00F11A9F"/>
    <w:rsid w:val="00F12EA6"/>
    <w:rsid w:val="00F17598"/>
    <w:rsid w:val="00F35DFB"/>
    <w:rsid w:val="00F5278F"/>
    <w:rsid w:val="00F549BA"/>
    <w:rsid w:val="00F56451"/>
    <w:rsid w:val="00F57AE4"/>
    <w:rsid w:val="00F60E17"/>
    <w:rsid w:val="00F66763"/>
    <w:rsid w:val="00F70127"/>
    <w:rsid w:val="00F72524"/>
    <w:rsid w:val="00F7435B"/>
    <w:rsid w:val="00F8395B"/>
    <w:rsid w:val="00F859EE"/>
    <w:rsid w:val="00F86F1A"/>
    <w:rsid w:val="00F90451"/>
    <w:rsid w:val="00F951FF"/>
    <w:rsid w:val="00FB1466"/>
    <w:rsid w:val="00FB1F48"/>
    <w:rsid w:val="00FC1669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2B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08A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unhideWhenUsed/>
    <w:rsid w:val="001408A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40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8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8AA"/>
    <w:rPr>
      <w:rFonts w:ascii="Times" w:eastAsia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A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AA"/>
    <w:rPr>
      <w:rFonts w:ascii="Times New Roman" w:eastAsia="Times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450D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427"/>
    <w:rPr>
      <w:rFonts w:ascii="Times" w:eastAsia="Times" w:hAnsi="Time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E1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00284"/>
    <w:rPr>
      <w:i/>
      <w:iCs/>
    </w:rPr>
  </w:style>
  <w:style w:type="character" w:customStyle="1" w:styleId="apple-converted-space">
    <w:name w:val="apple-converted-space"/>
    <w:basedOn w:val="DefaultParagraphFont"/>
    <w:rsid w:val="00900284"/>
  </w:style>
  <w:style w:type="paragraph" w:styleId="NormalWeb">
    <w:name w:val="Normal (Web)"/>
    <w:basedOn w:val="Normal"/>
    <w:uiPriority w:val="99"/>
    <w:semiHidden/>
    <w:unhideWhenUsed/>
    <w:rsid w:val="0056569D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024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189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ooks.google.com/books?id=JYbDzAjBnHoC&amp;pg=PA97&amp;lpg=PA97&amp;dq=aire+Specific+endocrine+organs+including+the+ovaries+and+liver+showed+distinct+lymphocytic+infiltrates,+and+consistent+with+human+APS-1,+adrenal+glands+were+absent+in+a+significant+portion+of+the+Aire-knockout+mice+suggesting+their+complete+destruction.&amp;source=bl&amp;ots=6dmt0tjX4y&amp;sig=MjjJICH8XZ7oYeXnncM_GZr2kEY&amp;hl=en&amp;sa=X&amp;ved=0ahUKEwjfmOPT86bTAhUp3IMKHYucDDkQ6AEIKDAA#v=onepage&amp;q=aire%20Specific%20endocrine%20organs%20including%20the%20ovaries%20and%20liver%20showed%20distinct%20lymphocytic%20infiltrates%2C%20and%20consistent%20with%20human%20APS-1%2C%20adrenal%20glands%20were%20absent%20in%20a%20significant%20portion%20of%20the%20Aire-knockout%20mice%20suggesting%20their%20complete%20destruction.&amp;f=false" TargetMode="External"/><Relationship Id="rId7" Type="http://schemas.openxmlformats.org/officeDocument/2006/relationships/hyperlink" Target="https://www.ncbi.nlm.nih.gov/pmc/articles/PMC3048612/figure/fig02/" TargetMode="External"/><Relationship Id="rId8" Type="http://schemas.openxmlformats.org/officeDocument/2006/relationships/hyperlink" Target="https://www.jax.org/research-and-faculty/research-labs/the-harrison-lab/gerontology/life-span-as-a-biomarke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C2D0-C923-A741-9489-20DB5C66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1123</Words>
  <Characters>6110</Characters>
  <Application>Microsoft Macintosh Word</Application>
  <DocSecurity>0</DocSecurity>
  <Lines>103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2017-04-19T00:34:00Z</dcterms:created>
  <dcterms:modified xsi:type="dcterms:W3CDTF">2017-04-19T01:27:00Z</dcterms:modified>
</cp:coreProperties>
</file>